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38BC99C9" w:rsidR="00930509" w:rsidRPr="0078017B" w:rsidRDefault="00785CEE" w:rsidP="00087A03">
            <w:pPr>
              <w:pStyle w:val="TableParagraph"/>
              <w:spacing w:before="103"/>
              <w:ind w:left="567" w:hanging="418"/>
            </w:pPr>
            <w:r>
              <w:t xml:space="preserve">Finance </w:t>
            </w:r>
            <w:r w:rsidRPr="0065374D">
              <w:t>Officer</w:t>
            </w:r>
            <w:r w:rsidR="00B06E6C" w:rsidRPr="0065374D">
              <w:t xml:space="preserve"> – General</w:t>
            </w:r>
            <w:r w:rsidR="0065374D" w:rsidRPr="0065374D">
              <w:t>ist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77777777" w:rsidR="00930509" w:rsidRPr="0078017B" w:rsidRDefault="00930509" w:rsidP="00087A03">
            <w:pPr>
              <w:pStyle w:val="TableParagraph"/>
              <w:ind w:left="567" w:hanging="418"/>
            </w:pPr>
            <w:r w:rsidRPr="0078017B">
              <w:t>Corporate and Community Services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3F796FFD" w:rsidR="00930509" w:rsidRPr="0078017B" w:rsidRDefault="00785CEE" w:rsidP="00087A03">
            <w:pPr>
              <w:pStyle w:val="TableParagraph"/>
              <w:ind w:left="149"/>
            </w:pPr>
            <w:r>
              <w:t>EBA Level 5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2DC528D4" w:rsidR="00930509" w:rsidRPr="0078017B" w:rsidRDefault="00785CEE" w:rsidP="00087A03">
            <w:pPr>
              <w:pStyle w:val="TableParagraph"/>
              <w:ind w:left="567" w:hanging="418"/>
            </w:pPr>
            <w:r>
              <w:t>Finance Coordinator</w:t>
            </w:r>
          </w:p>
        </w:tc>
      </w:tr>
      <w:tr w:rsidR="00930509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069DB81E" w:rsidR="00930509" w:rsidRPr="0078017B" w:rsidRDefault="00930509" w:rsidP="005A11A8">
            <w:pPr>
              <w:pStyle w:val="TableParagraph"/>
              <w:spacing w:before="0"/>
              <w:ind w:left="561" w:hanging="448"/>
              <w:rPr>
                <w:b/>
              </w:rPr>
            </w:pPr>
            <w:r w:rsidRPr="0078017B">
              <w:rPr>
                <w:b/>
              </w:rPr>
              <w:t>Responsible for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08451708" w14:textId="0D77D973" w:rsidR="00930509" w:rsidRPr="0078017B" w:rsidRDefault="00CC0AC3" w:rsidP="00087A03">
            <w:pPr>
              <w:pStyle w:val="TableParagraph"/>
              <w:ind w:left="567" w:hanging="418"/>
            </w:pPr>
            <w:r>
              <w:t>NIL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047E134B" w:rsidR="00930509" w:rsidRPr="0078017B" w:rsidRDefault="005A11A8" w:rsidP="00087A03">
            <w:pPr>
              <w:pStyle w:val="TableParagraph"/>
              <w:ind w:left="567" w:hanging="418"/>
            </w:pPr>
            <w:r>
              <w:t>Margaret River Civic Administration Centre</w:t>
            </w:r>
          </w:p>
        </w:tc>
      </w:tr>
      <w:tr w:rsidR="00930509" w14:paraId="5AF9071B" w14:textId="77777777" w:rsidTr="00087A03">
        <w:trPr>
          <w:trHeight w:val="284"/>
        </w:trPr>
        <w:tc>
          <w:tcPr>
            <w:tcW w:w="2804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04F58B98" w14:textId="3CF4D29A" w:rsidR="00930509" w:rsidRPr="0078017B" w:rsidRDefault="005A11A8" w:rsidP="00087A03">
            <w:pPr>
              <w:pStyle w:val="TableParagraph"/>
              <w:ind w:left="567" w:hanging="418"/>
            </w:pPr>
            <w:r>
              <w:t>No</w:t>
            </w:r>
            <w:r w:rsidR="00B849D4">
              <w:t>t</w:t>
            </w:r>
            <w:r>
              <w:t xml:space="preserve"> applicable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3D9B6B53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Position No. &amp; date</w:t>
            </w:r>
          </w:p>
        </w:tc>
        <w:tc>
          <w:tcPr>
            <w:tcW w:w="6126" w:type="dxa"/>
          </w:tcPr>
          <w:p w14:paraId="398DFA08" w14:textId="3981BD32" w:rsidR="002905D3" w:rsidRPr="0078017B" w:rsidRDefault="00CC0AC3" w:rsidP="00087A03">
            <w:pPr>
              <w:pStyle w:val="TableParagraph"/>
              <w:ind w:left="567" w:hanging="418"/>
            </w:pPr>
            <w:r>
              <w:t>August 2024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61E6AD08" w14:textId="003142B9" w:rsidR="00785CEE" w:rsidRPr="006A15BE" w:rsidRDefault="00785CEE" w:rsidP="00785CEE">
      <w:pPr>
        <w:pStyle w:val="BodyText"/>
        <w:ind w:right="275"/>
        <w:jc w:val="both"/>
        <w:rPr>
          <w:sz w:val="22"/>
          <w:szCs w:val="22"/>
        </w:rPr>
      </w:pPr>
      <w:r w:rsidRPr="006A15BE">
        <w:rPr>
          <w:sz w:val="22"/>
          <w:szCs w:val="22"/>
        </w:rPr>
        <w:t>To assist in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all</w:t>
      </w:r>
      <w:r w:rsidRPr="006A15BE">
        <w:rPr>
          <w:spacing w:val="-1"/>
          <w:sz w:val="22"/>
          <w:szCs w:val="22"/>
        </w:rPr>
        <w:t xml:space="preserve"> </w:t>
      </w:r>
      <w:r w:rsidRPr="006A15BE">
        <w:rPr>
          <w:sz w:val="22"/>
          <w:szCs w:val="22"/>
        </w:rPr>
        <w:t>aspects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of</w:t>
      </w:r>
      <w:r w:rsidRPr="006A15BE">
        <w:rPr>
          <w:spacing w:val="-1"/>
          <w:sz w:val="22"/>
          <w:szCs w:val="22"/>
        </w:rPr>
        <w:t xml:space="preserve"> </w:t>
      </w:r>
      <w:r w:rsidR="00B849D4">
        <w:rPr>
          <w:spacing w:val="-1"/>
          <w:sz w:val="22"/>
          <w:szCs w:val="22"/>
        </w:rPr>
        <w:t xml:space="preserve">delivering on the </w:t>
      </w:r>
      <w:r w:rsidRPr="006A15BE">
        <w:rPr>
          <w:sz w:val="22"/>
          <w:szCs w:val="22"/>
        </w:rPr>
        <w:t>financial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obligations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for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the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organisation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in</w:t>
      </w:r>
      <w:r w:rsidRPr="006A15BE">
        <w:rPr>
          <w:spacing w:val="-1"/>
          <w:sz w:val="22"/>
          <w:szCs w:val="22"/>
        </w:rPr>
        <w:t xml:space="preserve"> </w:t>
      </w:r>
      <w:r w:rsidRPr="006A15BE">
        <w:rPr>
          <w:sz w:val="22"/>
          <w:szCs w:val="22"/>
        </w:rPr>
        <w:t>accordance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with</w:t>
      </w:r>
      <w:r w:rsidRPr="006A15BE">
        <w:rPr>
          <w:spacing w:val="-1"/>
          <w:sz w:val="22"/>
          <w:szCs w:val="22"/>
        </w:rPr>
        <w:t xml:space="preserve"> </w:t>
      </w:r>
      <w:r w:rsidRPr="006A15BE">
        <w:rPr>
          <w:sz w:val="22"/>
          <w:szCs w:val="22"/>
        </w:rPr>
        <w:t>the requirements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of</w:t>
      </w:r>
      <w:r w:rsidRPr="006A15BE">
        <w:rPr>
          <w:spacing w:val="-1"/>
          <w:sz w:val="22"/>
          <w:szCs w:val="22"/>
        </w:rPr>
        <w:t xml:space="preserve"> </w:t>
      </w:r>
      <w:r w:rsidRPr="006A15BE">
        <w:rPr>
          <w:sz w:val="22"/>
          <w:szCs w:val="22"/>
        </w:rPr>
        <w:t xml:space="preserve">the </w:t>
      </w:r>
      <w:r w:rsidRPr="006A15BE">
        <w:rPr>
          <w:i/>
          <w:sz w:val="22"/>
          <w:szCs w:val="22"/>
        </w:rPr>
        <w:t xml:space="preserve">Local Government Act 1995, </w:t>
      </w:r>
      <w:r w:rsidRPr="006A15BE">
        <w:rPr>
          <w:sz w:val="22"/>
          <w:szCs w:val="22"/>
        </w:rPr>
        <w:t>Local Government (Financial Management) Regulations 1996, Australian Accounting Standards and other mandatory reporting requirements within Australia.</w:t>
      </w:r>
      <w:r w:rsidR="00DC1020">
        <w:rPr>
          <w:sz w:val="22"/>
          <w:szCs w:val="22"/>
        </w:rPr>
        <w:t xml:space="preserve"> To support the Finance Coordinator with the administration and control of the Shire’s rates and accounts receivable responsibilities.</w:t>
      </w:r>
    </w:p>
    <w:p w14:paraId="481E8824" w14:textId="77777777" w:rsidR="00930509" w:rsidRDefault="00930509" w:rsidP="00930509">
      <w:r>
        <w:tab/>
      </w:r>
      <w:r>
        <w:tab/>
      </w:r>
      <w:r>
        <w:tab/>
      </w:r>
    </w:p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84E32E5" w14:textId="77777777" w:rsidR="00785CEE" w:rsidRDefault="00785CEE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402B5D93" w14:textId="1465919A" w:rsidR="00930509" w:rsidRPr="00824F96" w:rsidRDefault="00AC5506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Key Functions and Duties</w:t>
      </w: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160"/>
        <w:gridCol w:w="1324"/>
      </w:tblGrid>
      <w:tr w:rsidR="0065374D" w:rsidRPr="0065374D" w14:paraId="0DCF534D" w14:textId="77777777" w:rsidTr="00A860EF">
        <w:trPr>
          <w:trHeight w:val="1568"/>
        </w:trPr>
        <w:tc>
          <w:tcPr>
            <w:tcW w:w="1696" w:type="dxa"/>
          </w:tcPr>
          <w:p w14:paraId="7181ADA0" w14:textId="4ED24306" w:rsidR="00AC5506" w:rsidRPr="0065374D" w:rsidRDefault="00AC5506" w:rsidP="00AC5506">
            <w:pPr>
              <w:spacing w:before="6" w:line="276" w:lineRule="auto"/>
            </w:pPr>
            <w:r w:rsidRPr="0065374D">
              <w:t>Financial</w:t>
            </w:r>
            <w:r w:rsidRPr="0065374D">
              <w:rPr>
                <w:spacing w:val="-5"/>
              </w:rPr>
              <w:t xml:space="preserve"> </w:t>
            </w:r>
            <w:r w:rsidRPr="0065374D">
              <w:rPr>
                <w:spacing w:val="-2"/>
              </w:rPr>
              <w:t>Management</w:t>
            </w:r>
            <w:r w:rsidR="006D74AF" w:rsidRPr="0065374D">
              <w:rPr>
                <w:spacing w:val="-2"/>
              </w:rPr>
              <w:t xml:space="preserve"> </w:t>
            </w:r>
          </w:p>
        </w:tc>
        <w:tc>
          <w:tcPr>
            <w:tcW w:w="6160" w:type="dxa"/>
          </w:tcPr>
          <w:p w14:paraId="4656C617" w14:textId="29918619" w:rsidR="006D74AF" w:rsidRPr="0065374D" w:rsidRDefault="006D74AF" w:rsidP="006D74AF">
            <w:pPr>
              <w:pStyle w:val="TableParagraph"/>
              <w:tabs>
                <w:tab w:val="left" w:pos="467"/>
                <w:tab w:val="left" w:pos="468"/>
              </w:tabs>
              <w:spacing w:before="0"/>
              <w:ind w:right="94"/>
              <w:rPr>
                <w:b/>
                <w:bCs/>
                <w:u w:val="single"/>
              </w:rPr>
            </w:pPr>
            <w:r w:rsidRPr="0065374D">
              <w:rPr>
                <w:b/>
                <w:bCs/>
                <w:u w:val="single"/>
              </w:rPr>
              <w:t xml:space="preserve">Financial </w:t>
            </w:r>
            <w:proofErr w:type="gramStart"/>
            <w:r w:rsidRPr="0065374D">
              <w:rPr>
                <w:b/>
                <w:bCs/>
                <w:u w:val="single"/>
              </w:rPr>
              <w:t>Management :</w:t>
            </w:r>
            <w:proofErr w:type="gramEnd"/>
          </w:p>
          <w:p w14:paraId="1FC168FD" w14:textId="3D6E2A3A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/>
              <w:ind w:right="94"/>
            </w:pPr>
            <w:r w:rsidRPr="0065374D">
              <w:t>Assist</w:t>
            </w:r>
            <w:r w:rsidRPr="0065374D">
              <w:rPr>
                <w:spacing w:val="-13"/>
              </w:rPr>
              <w:t xml:space="preserve"> </w:t>
            </w:r>
            <w:r w:rsidRPr="0065374D">
              <w:t>Finance</w:t>
            </w:r>
            <w:r w:rsidRPr="0065374D">
              <w:rPr>
                <w:spacing w:val="-12"/>
              </w:rPr>
              <w:t xml:space="preserve"> </w:t>
            </w:r>
            <w:r w:rsidRPr="0065374D">
              <w:t>Coordinator</w:t>
            </w:r>
            <w:r w:rsidRPr="0065374D">
              <w:rPr>
                <w:spacing w:val="-14"/>
              </w:rPr>
              <w:t xml:space="preserve"> </w:t>
            </w:r>
            <w:r w:rsidRPr="0065374D">
              <w:t>with</w:t>
            </w:r>
            <w:r w:rsidRPr="0065374D">
              <w:rPr>
                <w:spacing w:val="-13"/>
              </w:rPr>
              <w:t xml:space="preserve"> </w:t>
            </w:r>
            <w:r w:rsidRPr="0065374D">
              <w:t>month</w:t>
            </w:r>
            <w:r w:rsidRPr="0065374D">
              <w:rPr>
                <w:spacing w:val="-12"/>
              </w:rPr>
              <w:t xml:space="preserve"> </w:t>
            </w:r>
            <w:r w:rsidRPr="0065374D">
              <w:t>end</w:t>
            </w:r>
            <w:r w:rsidRPr="0065374D">
              <w:rPr>
                <w:spacing w:val="-13"/>
              </w:rPr>
              <w:t xml:space="preserve"> </w:t>
            </w:r>
            <w:r w:rsidRPr="0065374D">
              <w:t>processes</w:t>
            </w:r>
            <w:r w:rsidRPr="0065374D">
              <w:rPr>
                <w:spacing w:val="-14"/>
              </w:rPr>
              <w:t xml:space="preserve"> </w:t>
            </w:r>
            <w:r w:rsidRPr="0065374D">
              <w:t>and</w:t>
            </w:r>
            <w:r w:rsidRPr="0065374D">
              <w:rPr>
                <w:spacing w:val="-12"/>
              </w:rPr>
              <w:t xml:space="preserve"> </w:t>
            </w:r>
            <w:r w:rsidRPr="0065374D">
              <w:t>preparation</w:t>
            </w:r>
            <w:r w:rsidRPr="0065374D">
              <w:rPr>
                <w:spacing w:val="-13"/>
              </w:rPr>
              <w:t xml:space="preserve"> </w:t>
            </w:r>
            <w:r w:rsidRPr="0065374D">
              <w:t>of</w:t>
            </w:r>
            <w:r w:rsidRPr="0065374D">
              <w:rPr>
                <w:spacing w:val="-13"/>
              </w:rPr>
              <w:t xml:space="preserve"> </w:t>
            </w:r>
            <w:r w:rsidRPr="0065374D">
              <w:t>the monthly financial report for business units.</w:t>
            </w:r>
          </w:p>
          <w:p w14:paraId="59E57545" w14:textId="479D08ED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 w:line="279" w:lineRule="exact"/>
            </w:pPr>
            <w:r w:rsidRPr="0065374D">
              <w:t>Review,</w:t>
            </w:r>
            <w:r w:rsidRPr="0065374D">
              <w:rPr>
                <w:spacing w:val="-8"/>
              </w:rPr>
              <w:t xml:space="preserve"> </w:t>
            </w:r>
            <w:r w:rsidRPr="0065374D">
              <w:t>approve</w:t>
            </w:r>
            <w:r w:rsidRPr="0065374D">
              <w:rPr>
                <w:spacing w:val="-2"/>
              </w:rPr>
              <w:t xml:space="preserve"> </w:t>
            </w:r>
            <w:r w:rsidRPr="0065374D">
              <w:t>and</w:t>
            </w:r>
            <w:r w:rsidRPr="0065374D">
              <w:rPr>
                <w:spacing w:val="-4"/>
              </w:rPr>
              <w:t xml:space="preserve"> </w:t>
            </w:r>
            <w:r w:rsidRPr="0065374D">
              <w:t>assist</w:t>
            </w:r>
            <w:r w:rsidRPr="0065374D">
              <w:rPr>
                <w:spacing w:val="-6"/>
              </w:rPr>
              <w:t xml:space="preserve"> </w:t>
            </w:r>
            <w:r w:rsidRPr="0065374D">
              <w:t>with</w:t>
            </w:r>
            <w:r w:rsidRPr="0065374D">
              <w:rPr>
                <w:spacing w:val="-5"/>
              </w:rPr>
              <w:t xml:space="preserve"> </w:t>
            </w:r>
            <w:r w:rsidRPr="0065374D">
              <w:t>processing</w:t>
            </w:r>
            <w:r w:rsidRPr="0065374D">
              <w:rPr>
                <w:spacing w:val="-4"/>
              </w:rPr>
              <w:t xml:space="preserve"> </w:t>
            </w:r>
            <w:r w:rsidRPr="0065374D">
              <w:t>of</w:t>
            </w:r>
            <w:r w:rsidRPr="0065374D">
              <w:rPr>
                <w:spacing w:val="-5"/>
              </w:rPr>
              <w:t xml:space="preserve"> </w:t>
            </w:r>
            <w:r w:rsidRPr="0065374D">
              <w:t>accounts</w:t>
            </w:r>
            <w:r w:rsidRPr="0065374D">
              <w:rPr>
                <w:spacing w:val="-3"/>
              </w:rPr>
              <w:t xml:space="preserve"> </w:t>
            </w:r>
            <w:r w:rsidRPr="0065374D">
              <w:rPr>
                <w:spacing w:val="-2"/>
              </w:rPr>
              <w:t>payable</w:t>
            </w:r>
            <w:r w:rsidR="00B849D4" w:rsidRPr="0065374D">
              <w:rPr>
                <w:spacing w:val="-2"/>
              </w:rPr>
              <w:t>.</w:t>
            </w:r>
          </w:p>
          <w:p w14:paraId="52D0BD38" w14:textId="77777777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/>
              <w:ind w:right="93"/>
            </w:pPr>
            <w:r w:rsidRPr="0065374D">
              <w:t>Prepare</w:t>
            </w:r>
            <w:r w:rsidRPr="0065374D">
              <w:rPr>
                <w:spacing w:val="-14"/>
              </w:rPr>
              <w:t xml:space="preserve"> </w:t>
            </w:r>
            <w:r w:rsidRPr="0065374D">
              <w:t>General</w:t>
            </w:r>
            <w:r w:rsidRPr="0065374D">
              <w:rPr>
                <w:spacing w:val="-14"/>
              </w:rPr>
              <w:t xml:space="preserve"> </w:t>
            </w:r>
            <w:r w:rsidRPr="0065374D">
              <w:t>Ledger</w:t>
            </w:r>
            <w:r w:rsidRPr="0065374D">
              <w:rPr>
                <w:spacing w:val="-13"/>
              </w:rPr>
              <w:t xml:space="preserve"> </w:t>
            </w:r>
            <w:r w:rsidRPr="0065374D">
              <w:t>reconciliations</w:t>
            </w:r>
            <w:r w:rsidRPr="0065374D">
              <w:rPr>
                <w:spacing w:val="-12"/>
              </w:rPr>
              <w:t xml:space="preserve"> </w:t>
            </w:r>
            <w:r w:rsidRPr="0065374D">
              <w:t>and</w:t>
            </w:r>
            <w:r w:rsidRPr="0065374D">
              <w:rPr>
                <w:spacing w:val="-13"/>
              </w:rPr>
              <w:t xml:space="preserve"> </w:t>
            </w:r>
            <w:r w:rsidRPr="0065374D">
              <w:t>clear</w:t>
            </w:r>
            <w:r w:rsidRPr="0065374D">
              <w:rPr>
                <w:spacing w:val="-13"/>
              </w:rPr>
              <w:t xml:space="preserve"> </w:t>
            </w:r>
            <w:r w:rsidRPr="0065374D">
              <w:t>reconciling</w:t>
            </w:r>
            <w:r w:rsidRPr="0065374D">
              <w:rPr>
                <w:spacing w:val="-13"/>
              </w:rPr>
              <w:t xml:space="preserve"> </w:t>
            </w:r>
            <w:r w:rsidRPr="0065374D">
              <w:t>items</w:t>
            </w:r>
            <w:r w:rsidRPr="0065374D">
              <w:rPr>
                <w:spacing w:val="-14"/>
              </w:rPr>
              <w:t xml:space="preserve"> </w:t>
            </w:r>
            <w:r w:rsidRPr="0065374D">
              <w:t>within</w:t>
            </w:r>
            <w:r w:rsidRPr="0065374D">
              <w:rPr>
                <w:spacing w:val="-13"/>
              </w:rPr>
              <w:t xml:space="preserve"> </w:t>
            </w:r>
            <w:r w:rsidRPr="0065374D">
              <w:t>the following month.</w:t>
            </w:r>
          </w:p>
          <w:p w14:paraId="301C1B1F" w14:textId="255B821F" w:rsidR="009B4D39" w:rsidRPr="0065374D" w:rsidRDefault="00AC5506" w:rsidP="000C78AD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/>
              <w:ind w:right="94"/>
            </w:pPr>
            <w:r w:rsidRPr="0065374D">
              <w:t>Assist</w:t>
            </w:r>
            <w:r w:rsidRPr="0065374D">
              <w:rPr>
                <w:spacing w:val="-7"/>
              </w:rPr>
              <w:t xml:space="preserve"> </w:t>
            </w:r>
            <w:r w:rsidRPr="0065374D">
              <w:t>with</w:t>
            </w:r>
            <w:r w:rsidRPr="0065374D">
              <w:rPr>
                <w:spacing w:val="-8"/>
              </w:rPr>
              <w:t xml:space="preserve"> </w:t>
            </w:r>
            <w:r w:rsidRPr="0065374D">
              <w:t>the</w:t>
            </w:r>
            <w:r w:rsidRPr="0065374D">
              <w:rPr>
                <w:spacing w:val="-8"/>
              </w:rPr>
              <w:t xml:space="preserve"> </w:t>
            </w:r>
            <w:r w:rsidRPr="0065374D">
              <w:t>bank</w:t>
            </w:r>
            <w:r w:rsidR="000C78AD" w:rsidRPr="0065374D">
              <w:t xml:space="preserve"> receipting, </w:t>
            </w:r>
            <w:r w:rsidRPr="0065374D">
              <w:t>reconciliation</w:t>
            </w:r>
            <w:r w:rsidRPr="0065374D">
              <w:rPr>
                <w:spacing w:val="-8"/>
              </w:rPr>
              <w:t xml:space="preserve"> </w:t>
            </w:r>
            <w:r w:rsidRPr="0065374D">
              <w:t>function</w:t>
            </w:r>
            <w:r w:rsidRPr="0065374D">
              <w:rPr>
                <w:spacing w:val="-8"/>
              </w:rPr>
              <w:t xml:space="preserve"> </w:t>
            </w:r>
            <w:r w:rsidRPr="0065374D">
              <w:t>and</w:t>
            </w:r>
            <w:r w:rsidRPr="0065374D">
              <w:rPr>
                <w:spacing w:val="-8"/>
              </w:rPr>
              <w:t xml:space="preserve"> </w:t>
            </w:r>
            <w:r w:rsidRPr="0065374D">
              <w:t>day</w:t>
            </w:r>
            <w:r w:rsidRPr="0065374D">
              <w:rPr>
                <w:spacing w:val="-10"/>
              </w:rPr>
              <w:t xml:space="preserve"> </w:t>
            </w:r>
            <w:r w:rsidRPr="0065374D">
              <w:t>to</w:t>
            </w:r>
            <w:r w:rsidRPr="0065374D">
              <w:rPr>
                <w:spacing w:val="-11"/>
              </w:rPr>
              <w:t xml:space="preserve"> </w:t>
            </w:r>
            <w:r w:rsidRPr="0065374D">
              <w:t>day</w:t>
            </w:r>
            <w:r w:rsidRPr="0065374D">
              <w:rPr>
                <w:spacing w:val="-7"/>
              </w:rPr>
              <w:t xml:space="preserve"> </w:t>
            </w:r>
            <w:r w:rsidRPr="0065374D">
              <w:t>administration</w:t>
            </w:r>
            <w:r w:rsidRPr="0065374D">
              <w:rPr>
                <w:spacing w:val="-8"/>
              </w:rPr>
              <w:t xml:space="preserve"> </w:t>
            </w:r>
            <w:r w:rsidRPr="0065374D">
              <w:t>of all bank accounts.</w:t>
            </w:r>
          </w:p>
          <w:p w14:paraId="3EA8F985" w14:textId="77777777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79" w:lineRule="exact"/>
            </w:pPr>
            <w:r w:rsidRPr="0065374D">
              <w:t>Fuel</w:t>
            </w:r>
            <w:r w:rsidRPr="0065374D">
              <w:rPr>
                <w:spacing w:val="-4"/>
              </w:rPr>
              <w:t xml:space="preserve"> </w:t>
            </w:r>
            <w:r w:rsidRPr="0065374D">
              <w:t>processing</w:t>
            </w:r>
            <w:r w:rsidRPr="0065374D">
              <w:rPr>
                <w:spacing w:val="-5"/>
              </w:rPr>
              <w:t xml:space="preserve"> </w:t>
            </w:r>
            <w:r w:rsidRPr="0065374D">
              <w:t>and</w:t>
            </w:r>
            <w:r w:rsidRPr="0065374D">
              <w:rPr>
                <w:spacing w:val="-5"/>
              </w:rPr>
              <w:t xml:space="preserve"> </w:t>
            </w:r>
            <w:r w:rsidRPr="0065374D">
              <w:t>fuel</w:t>
            </w:r>
            <w:r w:rsidRPr="0065374D">
              <w:rPr>
                <w:spacing w:val="-4"/>
              </w:rPr>
              <w:t xml:space="preserve"> </w:t>
            </w:r>
            <w:r w:rsidRPr="0065374D">
              <w:t>card</w:t>
            </w:r>
            <w:r w:rsidRPr="0065374D">
              <w:rPr>
                <w:spacing w:val="-4"/>
              </w:rPr>
              <w:t xml:space="preserve"> </w:t>
            </w:r>
            <w:r w:rsidRPr="0065374D">
              <w:rPr>
                <w:spacing w:val="-2"/>
              </w:rPr>
              <w:t>control.</w:t>
            </w:r>
          </w:p>
          <w:p w14:paraId="737943BF" w14:textId="77777777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/>
              <w:ind w:right="96"/>
            </w:pPr>
            <w:r w:rsidRPr="0065374D">
              <w:t>Assist</w:t>
            </w:r>
            <w:r w:rsidRPr="0065374D">
              <w:rPr>
                <w:spacing w:val="-7"/>
              </w:rPr>
              <w:t xml:space="preserve"> </w:t>
            </w:r>
            <w:r w:rsidRPr="0065374D">
              <w:t>the</w:t>
            </w:r>
            <w:r w:rsidRPr="0065374D">
              <w:rPr>
                <w:spacing w:val="-8"/>
              </w:rPr>
              <w:t xml:space="preserve"> </w:t>
            </w:r>
            <w:r w:rsidRPr="0065374D">
              <w:t>Finance</w:t>
            </w:r>
            <w:r w:rsidRPr="0065374D">
              <w:rPr>
                <w:spacing w:val="-7"/>
              </w:rPr>
              <w:t xml:space="preserve"> </w:t>
            </w:r>
            <w:r w:rsidRPr="0065374D">
              <w:t>Coordinator</w:t>
            </w:r>
            <w:r w:rsidRPr="0065374D">
              <w:rPr>
                <w:spacing w:val="-8"/>
              </w:rPr>
              <w:t xml:space="preserve"> </w:t>
            </w:r>
            <w:r w:rsidRPr="0065374D">
              <w:t>to</w:t>
            </w:r>
            <w:r w:rsidRPr="0065374D">
              <w:rPr>
                <w:spacing w:val="-9"/>
              </w:rPr>
              <w:t xml:space="preserve"> </w:t>
            </w:r>
            <w:r w:rsidRPr="0065374D">
              <w:t>maintain</w:t>
            </w:r>
            <w:r w:rsidRPr="0065374D">
              <w:rPr>
                <w:spacing w:val="-8"/>
              </w:rPr>
              <w:t xml:space="preserve"> </w:t>
            </w:r>
            <w:r w:rsidRPr="0065374D">
              <w:t>and</w:t>
            </w:r>
            <w:r w:rsidRPr="0065374D">
              <w:rPr>
                <w:spacing w:val="-8"/>
              </w:rPr>
              <w:t xml:space="preserve"> </w:t>
            </w:r>
            <w:r w:rsidRPr="0065374D">
              <w:t>reconcile</w:t>
            </w:r>
            <w:r w:rsidRPr="0065374D">
              <w:rPr>
                <w:spacing w:val="-7"/>
              </w:rPr>
              <w:t xml:space="preserve"> </w:t>
            </w:r>
            <w:r w:rsidRPr="0065374D">
              <w:t>the</w:t>
            </w:r>
            <w:r w:rsidRPr="0065374D">
              <w:rPr>
                <w:spacing w:val="-8"/>
              </w:rPr>
              <w:t xml:space="preserve"> </w:t>
            </w:r>
            <w:r w:rsidRPr="0065374D">
              <w:t>Property,</w:t>
            </w:r>
            <w:r w:rsidRPr="0065374D">
              <w:rPr>
                <w:spacing w:val="-10"/>
              </w:rPr>
              <w:t xml:space="preserve"> </w:t>
            </w:r>
            <w:r w:rsidRPr="0065374D">
              <w:t>Plant and Equipment registers.</w:t>
            </w:r>
          </w:p>
          <w:p w14:paraId="0E28EDD3" w14:textId="42A5D9E8" w:rsidR="00AC5506" w:rsidRPr="0065374D" w:rsidRDefault="00AC5506" w:rsidP="00D32C66">
            <w:pPr>
              <w:pStyle w:val="TableParagraph"/>
              <w:numPr>
                <w:ilvl w:val="0"/>
                <w:numId w:val="13"/>
              </w:numPr>
              <w:spacing w:line="272" w:lineRule="exact"/>
            </w:pPr>
            <w:r w:rsidRPr="0065374D">
              <w:t>Collection</w:t>
            </w:r>
            <w:r w:rsidRPr="0065374D">
              <w:rPr>
                <w:spacing w:val="-2"/>
              </w:rPr>
              <w:t xml:space="preserve"> </w:t>
            </w:r>
            <w:r w:rsidRPr="0065374D">
              <w:t>and</w:t>
            </w:r>
            <w:r w:rsidRPr="0065374D">
              <w:rPr>
                <w:spacing w:val="-3"/>
              </w:rPr>
              <w:t xml:space="preserve"> </w:t>
            </w:r>
            <w:r w:rsidRPr="0065374D">
              <w:t>preparation</w:t>
            </w:r>
            <w:r w:rsidRPr="0065374D">
              <w:rPr>
                <w:spacing w:val="-5"/>
              </w:rPr>
              <w:t xml:space="preserve"> </w:t>
            </w:r>
            <w:r w:rsidRPr="0065374D">
              <w:t>of</w:t>
            </w:r>
            <w:r w:rsidRPr="0065374D">
              <w:rPr>
                <w:spacing w:val="-1"/>
              </w:rPr>
              <w:t xml:space="preserve"> </w:t>
            </w:r>
            <w:r w:rsidRPr="0065374D">
              <w:t>light</w:t>
            </w:r>
            <w:r w:rsidRPr="0065374D">
              <w:rPr>
                <w:spacing w:val="-4"/>
              </w:rPr>
              <w:t xml:space="preserve"> </w:t>
            </w:r>
            <w:r w:rsidRPr="0065374D">
              <w:t>&amp; heavy</w:t>
            </w:r>
            <w:r w:rsidRPr="0065374D">
              <w:rPr>
                <w:spacing w:val="-4"/>
              </w:rPr>
              <w:t xml:space="preserve"> </w:t>
            </w:r>
            <w:r w:rsidRPr="0065374D">
              <w:t>fleet</w:t>
            </w:r>
            <w:r w:rsidRPr="0065374D">
              <w:rPr>
                <w:spacing w:val="-2"/>
              </w:rPr>
              <w:t xml:space="preserve"> data.</w:t>
            </w:r>
          </w:p>
          <w:p w14:paraId="398BFEF8" w14:textId="5270BA59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0"/>
              <w:ind w:right="92"/>
              <w:jc w:val="both"/>
            </w:pPr>
            <w:r w:rsidRPr="0065374D">
              <w:t>Assist</w:t>
            </w:r>
            <w:r w:rsidRPr="0065374D">
              <w:rPr>
                <w:spacing w:val="-13"/>
              </w:rPr>
              <w:t xml:space="preserve"> </w:t>
            </w:r>
            <w:r w:rsidRPr="0065374D">
              <w:t>with</w:t>
            </w:r>
            <w:r w:rsidRPr="0065374D">
              <w:rPr>
                <w:spacing w:val="-13"/>
              </w:rPr>
              <w:t xml:space="preserve"> </w:t>
            </w:r>
            <w:r w:rsidRPr="0065374D">
              <w:t>the</w:t>
            </w:r>
            <w:r w:rsidRPr="0065374D">
              <w:rPr>
                <w:spacing w:val="-9"/>
              </w:rPr>
              <w:t xml:space="preserve"> </w:t>
            </w:r>
            <w:r w:rsidRPr="0065374D">
              <w:t>preparation</w:t>
            </w:r>
            <w:r w:rsidRPr="0065374D">
              <w:rPr>
                <w:spacing w:val="-13"/>
              </w:rPr>
              <w:t xml:space="preserve"> </w:t>
            </w:r>
            <w:r w:rsidRPr="0065374D">
              <w:t>of</w:t>
            </w:r>
            <w:r w:rsidRPr="0065374D">
              <w:rPr>
                <w:spacing w:val="-12"/>
              </w:rPr>
              <w:t xml:space="preserve"> </w:t>
            </w:r>
            <w:r w:rsidRPr="0065374D">
              <w:t>the Annual</w:t>
            </w:r>
            <w:r w:rsidRPr="0065374D">
              <w:rPr>
                <w:spacing w:val="-11"/>
              </w:rPr>
              <w:t xml:space="preserve"> </w:t>
            </w:r>
            <w:r w:rsidRPr="0065374D">
              <w:t>Financial</w:t>
            </w:r>
            <w:r w:rsidRPr="0065374D">
              <w:rPr>
                <w:spacing w:val="-11"/>
              </w:rPr>
              <w:t xml:space="preserve"> </w:t>
            </w:r>
            <w:r w:rsidRPr="0065374D">
              <w:t>Report</w:t>
            </w:r>
            <w:r w:rsidRPr="0065374D">
              <w:rPr>
                <w:spacing w:val="-12"/>
              </w:rPr>
              <w:t xml:space="preserve"> </w:t>
            </w:r>
            <w:r w:rsidRPr="0065374D">
              <w:t>and</w:t>
            </w:r>
            <w:r w:rsidRPr="0065374D">
              <w:rPr>
                <w:spacing w:val="-11"/>
              </w:rPr>
              <w:t xml:space="preserve"> </w:t>
            </w:r>
            <w:r w:rsidRPr="0065374D">
              <w:t>provide</w:t>
            </w:r>
            <w:r w:rsidRPr="0065374D">
              <w:rPr>
                <w:spacing w:val="-9"/>
              </w:rPr>
              <w:t xml:space="preserve"> </w:t>
            </w:r>
            <w:r w:rsidRPr="0065374D">
              <w:t>support</w:t>
            </w:r>
            <w:r w:rsidRPr="0065374D">
              <w:rPr>
                <w:spacing w:val="-12"/>
              </w:rPr>
              <w:t xml:space="preserve"> </w:t>
            </w:r>
            <w:r w:rsidRPr="0065374D">
              <w:t>to</w:t>
            </w:r>
            <w:r w:rsidRPr="0065374D">
              <w:rPr>
                <w:spacing w:val="-11"/>
              </w:rPr>
              <w:t xml:space="preserve"> </w:t>
            </w:r>
            <w:r w:rsidRPr="0065374D">
              <w:t>external</w:t>
            </w:r>
            <w:r w:rsidRPr="0065374D">
              <w:rPr>
                <w:spacing w:val="-11"/>
              </w:rPr>
              <w:t xml:space="preserve"> </w:t>
            </w:r>
            <w:r w:rsidRPr="0065374D">
              <w:t>auditors</w:t>
            </w:r>
            <w:r w:rsidRPr="0065374D">
              <w:rPr>
                <w:spacing w:val="-13"/>
              </w:rPr>
              <w:t xml:space="preserve"> </w:t>
            </w:r>
            <w:r w:rsidRPr="0065374D">
              <w:t>whilst</w:t>
            </w:r>
            <w:r w:rsidRPr="0065374D">
              <w:rPr>
                <w:spacing w:val="-12"/>
              </w:rPr>
              <w:t xml:space="preserve"> </w:t>
            </w:r>
            <w:r w:rsidRPr="0065374D">
              <w:t>they conduct the interim</w:t>
            </w:r>
            <w:r w:rsidR="009B4D39" w:rsidRPr="0065374D">
              <w:t xml:space="preserve">, </w:t>
            </w:r>
            <w:r w:rsidRPr="0065374D">
              <w:t>annual audits</w:t>
            </w:r>
            <w:r w:rsidR="00FE178F" w:rsidRPr="0065374D">
              <w:t>, and any other audit</w:t>
            </w:r>
            <w:r w:rsidR="009B4D39" w:rsidRPr="0065374D">
              <w:t xml:space="preserve">. </w:t>
            </w:r>
          </w:p>
          <w:p w14:paraId="4AC1309B" w14:textId="77777777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0" w:line="279" w:lineRule="exact"/>
              <w:jc w:val="both"/>
            </w:pPr>
            <w:r w:rsidRPr="0065374D">
              <w:t>Monitor</w:t>
            </w:r>
            <w:r w:rsidRPr="0065374D">
              <w:rPr>
                <w:spacing w:val="-6"/>
              </w:rPr>
              <w:t xml:space="preserve"> </w:t>
            </w:r>
            <w:r w:rsidRPr="0065374D">
              <w:t>outstanding</w:t>
            </w:r>
            <w:r w:rsidRPr="0065374D">
              <w:rPr>
                <w:spacing w:val="-4"/>
              </w:rPr>
              <w:t xml:space="preserve"> </w:t>
            </w:r>
            <w:r w:rsidRPr="0065374D">
              <w:t>purchase</w:t>
            </w:r>
            <w:r w:rsidRPr="0065374D">
              <w:rPr>
                <w:spacing w:val="-5"/>
              </w:rPr>
              <w:t xml:space="preserve"> </w:t>
            </w:r>
            <w:r w:rsidRPr="0065374D">
              <w:rPr>
                <w:spacing w:val="-2"/>
              </w:rPr>
              <w:t>orders.</w:t>
            </w:r>
          </w:p>
          <w:p w14:paraId="70729335" w14:textId="4A42608D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/>
            </w:pPr>
            <w:r w:rsidRPr="0065374D">
              <w:lastRenderedPageBreak/>
              <w:t>Assist</w:t>
            </w:r>
            <w:r w:rsidRPr="0065374D">
              <w:rPr>
                <w:spacing w:val="-5"/>
              </w:rPr>
              <w:t xml:space="preserve"> </w:t>
            </w:r>
            <w:r w:rsidRPr="0065374D">
              <w:t>with</w:t>
            </w:r>
            <w:r w:rsidRPr="0065374D">
              <w:rPr>
                <w:spacing w:val="-3"/>
              </w:rPr>
              <w:t xml:space="preserve"> </w:t>
            </w:r>
            <w:r w:rsidR="00B849D4" w:rsidRPr="0065374D">
              <w:rPr>
                <w:spacing w:val="-3"/>
              </w:rPr>
              <w:t>m</w:t>
            </w:r>
            <w:r w:rsidRPr="0065374D">
              <w:t>id-year</w:t>
            </w:r>
            <w:r w:rsidRPr="0065374D">
              <w:rPr>
                <w:spacing w:val="-3"/>
              </w:rPr>
              <w:t xml:space="preserve"> </w:t>
            </w:r>
            <w:r w:rsidRPr="0065374D">
              <w:t>budget</w:t>
            </w:r>
            <w:r w:rsidRPr="0065374D">
              <w:rPr>
                <w:spacing w:val="-4"/>
              </w:rPr>
              <w:t xml:space="preserve"> </w:t>
            </w:r>
            <w:r w:rsidRPr="0065374D">
              <w:t>review</w:t>
            </w:r>
            <w:r w:rsidRPr="0065374D">
              <w:rPr>
                <w:spacing w:val="-5"/>
              </w:rPr>
              <w:t xml:space="preserve"> </w:t>
            </w:r>
            <w:r w:rsidRPr="0065374D">
              <w:t>and</w:t>
            </w:r>
            <w:r w:rsidRPr="0065374D">
              <w:rPr>
                <w:spacing w:val="-4"/>
              </w:rPr>
              <w:t xml:space="preserve"> </w:t>
            </w:r>
            <w:r w:rsidRPr="0065374D">
              <w:t>budget</w:t>
            </w:r>
            <w:r w:rsidRPr="0065374D">
              <w:rPr>
                <w:spacing w:val="-3"/>
              </w:rPr>
              <w:t xml:space="preserve"> </w:t>
            </w:r>
            <w:r w:rsidRPr="0065374D">
              <w:rPr>
                <w:spacing w:val="-2"/>
              </w:rPr>
              <w:t>preparation.</w:t>
            </w:r>
          </w:p>
          <w:p w14:paraId="76863D7B" w14:textId="59BF67C9" w:rsidR="00AC5506" w:rsidRPr="0065374D" w:rsidRDefault="00AC5506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/>
            </w:pPr>
            <w:r w:rsidRPr="0065374D">
              <w:t>Review</w:t>
            </w:r>
            <w:r w:rsidRPr="0065374D">
              <w:rPr>
                <w:spacing w:val="-6"/>
              </w:rPr>
              <w:t xml:space="preserve"> </w:t>
            </w:r>
            <w:r w:rsidRPr="0065374D">
              <w:t>and</w:t>
            </w:r>
            <w:r w:rsidRPr="0065374D">
              <w:rPr>
                <w:spacing w:val="-5"/>
              </w:rPr>
              <w:t xml:space="preserve"> </w:t>
            </w:r>
            <w:r w:rsidRPr="0065374D">
              <w:t>update</w:t>
            </w:r>
            <w:r w:rsidRPr="0065374D">
              <w:rPr>
                <w:spacing w:val="-2"/>
              </w:rPr>
              <w:t xml:space="preserve"> </w:t>
            </w:r>
            <w:r w:rsidRPr="0065374D">
              <w:t>Finance</w:t>
            </w:r>
            <w:r w:rsidRPr="0065374D">
              <w:rPr>
                <w:spacing w:val="-3"/>
              </w:rPr>
              <w:t xml:space="preserve"> </w:t>
            </w:r>
            <w:r w:rsidR="00B849D4" w:rsidRPr="0065374D">
              <w:rPr>
                <w:spacing w:val="-3"/>
              </w:rPr>
              <w:t>p</w:t>
            </w:r>
            <w:r w:rsidRPr="0065374D">
              <w:t>rocedures</w:t>
            </w:r>
            <w:r w:rsidRPr="0065374D">
              <w:rPr>
                <w:spacing w:val="-4"/>
              </w:rPr>
              <w:t xml:space="preserve"> </w:t>
            </w:r>
            <w:r w:rsidRPr="0065374D">
              <w:t>and</w:t>
            </w:r>
            <w:r w:rsidRPr="0065374D">
              <w:rPr>
                <w:spacing w:val="-4"/>
              </w:rPr>
              <w:t xml:space="preserve"> </w:t>
            </w:r>
            <w:r w:rsidR="00B849D4" w:rsidRPr="0065374D">
              <w:rPr>
                <w:spacing w:val="-4"/>
              </w:rPr>
              <w:t>g</w:t>
            </w:r>
            <w:r w:rsidRPr="0065374D">
              <w:rPr>
                <w:spacing w:val="-2"/>
              </w:rPr>
              <w:t>uide</w:t>
            </w:r>
            <w:r w:rsidR="00B849D4" w:rsidRPr="0065374D">
              <w:rPr>
                <w:spacing w:val="-2"/>
              </w:rPr>
              <w:t>lines</w:t>
            </w:r>
          </w:p>
          <w:p w14:paraId="3F64C331" w14:textId="77777777" w:rsidR="00AC5506" w:rsidRPr="0065374D" w:rsidRDefault="006B290A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/>
            </w:pPr>
            <w:r w:rsidRPr="0065374D">
              <w:rPr>
                <w:spacing w:val="-2"/>
              </w:rPr>
              <w:t xml:space="preserve">Input </w:t>
            </w:r>
            <w:r w:rsidR="00AC5506" w:rsidRPr="0065374D">
              <w:t>and</w:t>
            </w:r>
            <w:r w:rsidR="00AC5506" w:rsidRPr="0065374D">
              <w:rPr>
                <w:spacing w:val="-4"/>
              </w:rPr>
              <w:t xml:space="preserve"> </w:t>
            </w:r>
            <w:r w:rsidR="00AC5506" w:rsidRPr="0065374D">
              <w:t>review</w:t>
            </w:r>
            <w:r w:rsidR="00AC5506" w:rsidRPr="0065374D">
              <w:rPr>
                <w:spacing w:val="-4"/>
              </w:rPr>
              <w:t xml:space="preserve"> </w:t>
            </w:r>
            <w:r w:rsidR="00AC5506" w:rsidRPr="0065374D">
              <w:t>plant</w:t>
            </w:r>
            <w:r w:rsidR="00AC5506" w:rsidRPr="0065374D">
              <w:rPr>
                <w:spacing w:val="-4"/>
              </w:rPr>
              <w:t xml:space="preserve"> </w:t>
            </w:r>
            <w:r w:rsidR="00AC5506" w:rsidRPr="0065374D">
              <w:t>utilisation</w:t>
            </w:r>
            <w:r w:rsidR="00AC5506" w:rsidRPr="0065374D">
              <w:rPr>
                <w:spacing w:val="-4"/>
              </w:rPr>
              <w:t xml:space="preserve"> </w:t>
            </w:r>
            <w:r w:rsidR="00AC5506" w:rsidRPr="0065374D">
              <w:rPr>
                <w:spacing w:val="-2"/>
              </w:rPr>
              <w:t>information</w:t>
            </w:r>
          </w:p>
          <w:p w14:paraId="1342F4AB" w14:textId="77777777" w:rsidR="00D32C66" w:rsidRPr="0065374D" w:rsidRDefault="00D32C66" w:rsidP="00D32C6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79" w:lineRule="exact"/>
            </w:pPr>
            <w:r w:rsidRPr="0065374D">
              <w:t>Maintain motor vehicle</w:t>
            </w:r>
            <w:r w:rsidRPr="0065374D">
              <w:rPr>
                <w:spacing w:val="-3"/>
              </w:rPr>
              <w:t xml:space="preserve"> </w:t>
            </w:r>
            <w:r w:rsidRPr="0065374D">
              <w:t>register</w:t>
            </w:r>
            <w:r w:rsidRPr="0065374D">
              <w:rPr>
                <w:spacing w:val="-3"/>
              </w:rPr>
              <w:t xml:space="preserve"> </w:t>
            </w:r>
            <w:r w:rsidRPr="0065374D">
              <w:t>and</w:t>
            </w:r>
            <w:r w:rsidRPr="0065374D">
              <w:rPr>
                <w:spacing w:val="-6"/>
              </w:rPr>
              <w:t xml:space="preserve"> </w:t>
            </w:r>
            <w:r w:rsidRPr="0065374D">
              <w:t>coordinate</w:t>
            </w:r>
            <w:r w:rsidRPr="0065374D">
              <w:rPr>
                <w:spacing w:val="-2"/>
              </w:rPr>
              <w:t xml:space="preserve"> </w:t>
            </w:r>
            <w:r w:rsidRPr="0065374D">
              <w:t>odometer</w:t>
            </w:r>
            <w:r w:rsidRPr="0065374D">
              <w:rPr>
                <w:spacing w:val="-3"/>
              </w:rPr>
              <w:t xml:space="preserve"> </w:t>
            </w:r>
            <w:r w:rsidRPr="0065374D">
              <w:t>readings</w:t>
            </w:r>
            <w:r w:rsidRPr="0065374D">
              <w:rPr>
                <w:spacing w:val="-4"/>
              </w:rPr>
              <w:t xml:space="preserve"> </w:t>
            </w:r>
            <w:r w:rsidRPr="0065374D">
              <w:t>on</w:t>
            </w:r>
            <w:r w:rsidRPr="0065374D">
              <w:rPr>
                <w:spacing w:val="-4"/>
              </w:rPr>
              <w:t xml:space="preserve"> </w:t>
            </w:r>
            <w:r w:rsidRPr="0065374D">
              <w:t>a</w:t>
            </w:r>
            <w:r w:rsidRPr="0065374D">
              <w:rPr>
                <w:spacing w:val="-6"/>
              </w:rPr>
              <w:t xml:space="preserve"> </w:t>
            </w:r>
            <w:r w:rsidRPr="0065374D">
              <w:t>quarterly</w:t>
            </w:r>
            <w:r w:rsidRPr="0065374D">
              <w:rPr>
                <w:spacing w:val="-2"/>
              </w:rPr>
              <w:t xml:space="preserve"> </w:t>
            </w:r>
            <w:r w:rsidRPr="0065374D">
              <w:t>basis</w:t>
            </w:r>
          </w:p>
          <w:p w14:paraId="45B386B0" w14:textId="77777777" w:rsidR="00D32C66" w:rsidRPr="0065374D" w:rsidRDefault="00D32C66" w:rsidP="00D32C66">
            <w:pPr>
              <w:pStyle w:val="TableParagraph"/>
              <w:tabs>
                <w:tab w:val="left" w:pos="467"/>
                <w:tab w:val="left" w:pos="468"/>
              </w:tabs>
              <w:spacing w:before="0"/>
            </w:pPr>
          </w:p>
          <w:p w14:paraId="1710F5DC" w14:textId="7D0468AD" w:rsidR="006D74AF" w:rsidRPr="0065374D" w:rsidRDefault="006D74AF" w:rsidP="006D74AF">
            <w:pPr>
              <w:pStyle w:val="TableParagraph"/>
              <w:tabs>
                <w:tab w:val="left" w:pos="467"/>
                <w:tab w:val="left" w:pos="468"/>
              </w:tabs>
              <w:spacing w:before="0" w:line="277" w:lineRule="exact"/>
              <w:rPr>
                <w:b/>
                <w:bCs/>
                <w:u w:val="single"/>
              </w:rPr>
            </w:pPr>
            <w:r w:rsidRPr="0065374D">
              <w:rPr>
                <w:b/>
                <w:bCs/>
                <w:u w:val="single"/>
              </w:rPr>
              <w:t xml:space="preserve">Insurance </w:t>
            </w:r>
          </w:p>
          <w:p w14:paraId="0ACBAD39" w14:textId="23FA88A8" w:rsidR="006D74AF" w:rsidRPr="0065374D" w:rsidRDefault="006D74AF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 w:line="277" w:lineRule="exact"/>
            </w:pPr>
            <w:r w:rsidRPr="0065374D">
              <w:t>Coordinate</w:t>
            </w:r>
            <w:r w:rsidRPr="0065374D">
              <w:rPr>
                <w:spacing w:val="-5"/>
              </w:rPr>
              <w:t xml:space="preserve"> </w:t>
            </w:r>
            <w:r w:rsidRPr="0065374D">
              <w:t>Insurance</w:t>
            </w:r>
            <w:r w:rsidRPr="0065374D">
              <w:rPr>
                <w:spacing w:val="-7"/>
              </w:rPr>
              <w:t xml:space="preserve"> </w:t>
            </w:r>
            <w:r w:rsidRPr="0065374D">
              <w:rPr>
                <w:spacing w:val="-2"/>
              </w:rPr>
              <w:t>claims</w:t>
            </w:r>
            <w:r w:rsidR="00D32C66" w:rsidRPr="0065374D">
              <w:rPr>
                <w:spacing w:val="-2"/>
              </w:rPr>
              <w:t>, including liaising with insurer on claims and policies, and arranging paperwork from Shire staff</w:t>
            </w:r>
          </w:p>
          <w:p w14:paraId="165809E3" w14:textId="4A482112" w:rsidR="006D74AF" w:rsidRPr="0065374D" w:rsidRDefault="006D74AF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 w:line="277" w:lineRule="exact"/>
            </w:pPr>
            <w:r w:rsidRPr="0065374D">
              <w:t>Preparation</w:t>
            </w:r>
            <w:r w:rsidRPr="0065374D">
              <w:rPr>
                <w:spacing w:val="-7"/>
              </w:rPr>
              <w:t xml:space="preserve"> </w:t>
            </w:r>
            <w:r w:rsidRPr="0065374D">
              <w:t>of</w:t>
            </w:r>
            <w:r w:rsidRPr="0065374D">
              <w:rPr>
                <w:spacing w:val="-4"/>
              </w:rPr>
              <w:t xml:space="preserve"> </w:t>
            </w:r>
            <w:r w:rsidRPr="0065374D">
              <w:t>the</w:t>
            </w:r>
            <w:r w:rsidRPr="0065374D">
              <w:rPr>
                <w:spacing w:val="-2"/>
              </w:rPr>
              <w:t xml:space="preserve"> </w:t>
            </w:r>
            <w:r w:rsidRPr="0065374D">
              <w:t>Annual</w:t>
            </w:r>
            <w:r w:rsidRPr="0065374D">
              <w:rPr>
                <w:spacing w:val="-4"/>
              </w:rPr>
              <w:t xml:space="preserve"> </w:t>
            </w:r>
            <w:r w:rsidRPr="0065374D">
              <w:t>Insurance</w:t>
            </w:r>
            <w:r w:rsidRPr="0065374D">
              <w:rPr>
                <w:spacing w:val="-2"/>
              </w:rPr>
              <w:t xml:space="preserve"> declarations</w:t>
            </w:r>
            <w:r w:rsidR="000C78AD" w:rsidRPr="0065374D">
              <w:rPr>
                <w:spacing w:val="-2"/>
              </w:rPr>
              <w:t xml:space="preserve"> and update insurance schedules as required. </w:t>
            </w:r>
          </w:p>
          <w:p w14:paraId="2F0B4DB4" w14:textId="77777777" w:rsidR="006D74AF" w:rsidRPr="0065374D" w:rsidRDefault="006D74AF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79" w:lineRule="exact"/>
            </w:pPr>
            <w:r w:rsidRPr="0065374D">
              <w:t>Co-ordinate</w:t>
            </w:r>
            <w:r w:rsidRPr="0065374D">
              <w:rPr>
                <w:spacing w:val="-5"/>
              </w:rPr>
              <w:t xml:space="preserve"> </w:t>
            </w:r>
            <w:r w:rsidRPr="0065374D">
              <w:t>fleet</w:t>
            </w:r>
            <w:r w:rsidRPr="0065374D">
              <w:rPr>
                <w:spacing w:val="-4"/>
              </w:rPr>
              <w:t xml:space="preserve"> </w:t>
            </w:r>
            <w:r w:rsidRPr="0065374D">
              <w:rPr>
                <w:spacing w:val="-2"/>
              </w:rPr>
              <w:t>registrations</w:t>
            </w:r>
          </w:p>
          <w:p w14:paraId="5FB0AC9C" w14:textId="77777777" w:rsidR="006D74AF" w:rsidRPr="0065374D" w:rsidRDefault="006D74AF" w:rsidP="006D74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79" w:lineRule="exact"/>
            </w:pPr>
            <w:r w:rsidRPr="0065374D">
              <w:t>Maintain</w:t>
            </w:r>
            <w:r w:rsidRPr="0065374D">
              <w:rPr>
                <w:spacing w:val="-6"/>
              </w:rPr>
              <w:t xml:space="preserve"> </w:t>
            </w:r>
            <w:r w:rsidRPr="0065374D">
              <w:t>Shire’s</w:t>
            </w:r>
            <w:r w:rsidRPr="0065374D">
              <w:rPr>
                <w:spacing w:val="-6"/>
              </w:rPr>
              <w:t xml:space="preserve"> </w:t>
            </w:r>
            <w:r w:rsidRPr="0065374D">
              <w:t>Operating/Capital</w:t>
            </w:r>
            <w:r w:rsidRPr="0065374D">
              <w:rPr>
                <w:spacing w:val="-5"/>
              </w:rPr>
              <w:t xml:space="preserve"> </w:t>
            </w:r>
            <w:r w:rsidRPr="0065374D">
              <w:t>leases</w:t>
            </w:r>
            <w:r w:rsidRPr="0065374D">
              <w:rPr>
                <w:spacing w:val="-6"/>
              </w:rPr>
              <w:t xml:space="preserve"> </w:t>
            </w:r>
            <w:r w:rsidRPr="0065374D">
              <w:rPr>
                <w:spacing w:val="-4"/>
              </w:rPr>
              <w:t>file</w:t>
            </w:r>
          </w:p>
          <w:p w14:paraId="16FC86DC" w14:textId="77777777" w:rsidR="000917AF" w:rsidRPr="0065374D" w:rsidRDefault="000917AF" w:rsidP="000917AF">
            <w:pPr>
              <w:pStyle w:val="TableParagraph"/>
              <w:tabs>
                <w:tab w:val="left" w:pos="467"/>
                <w:tab w:val="left" w:pos="468"/>
              </w:tabs>
              <w:spacing w:before="1" w:line="279" w:lineRule="exact"/>
            </w:pPr>
          </w:p>
          <w:p w14:paraId="7ACCA469" w14:textId="25EBEA04" w:rsidR="006D74AF" w:rsidRPr="0065374D" w:rsidRDefault="006D74AF" w:rsidP="006D74AF">
            <w:pPr>
              <w:pStyle w:val="TableParagraph"/>
              <w:tabs>
                <w:tab w:val="left" w:pos="467"/>
                <w:tab w:val="left" w:pos="468"/>
              </w:tabs>
              <w:spacing w:before="1" w:line="279" w:lineRule="exact"/>
              <w:rPr>
                <w:b/>
                <w:bCs/>
                <w:u w:val="single"/>
              </w:rPr>
            </w:pPr>
            <w:r w:rsidRPr="0065374D">
              <w:rPr>
                <w:b/>
                <w:bCs/>
                <w:spacing w:val="-4"/>
                <w:u w:val="single"/>
              </w:rPr>
              <w:t>Indirect Taxes (incl BAS and FBT)</w:t>
            </w:r>
          </w:p>
          <w:p w14:paraId="0BBF7CB8" w14:textId="63B8D534" w:rsidR="006D74AF" w:rsidRPr="0065374D" w:rsidRDefault="006D74AF" w:rsidP="008F7E7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0" w:line="280" w:lineRule="exact"/>
            </w:pPr>
            <w:r w:rsidRPr="0065374D">
              <w:t>Assist</w:t>
            </w:r>
            <w:r w:rsidRPr="0065374D">
              <w:rPr>
                <w:spacing w:val="-4"/>
              </w:rPr>
              <w:t xml:space="preserve"> </w:t>
            </w:r>
            <w:r w:rsidRPr="0065374D">
              <w:t>the</w:t>
            </w:r>
            <w:r w:rsidRPr="0065374D">
              <w:rPr>
                <w:spacing w:val="-5"/>
              </w:rPr>
              <w:t xml:space="preserve"> </w:t>
            </w:r>
            <w:r w:rsidRPr="0065374D">
              <w:t>Finance</w:t>
            </w:r>
            <w:r w:rsidRPr="0065374D">
              <w:rPr>
                <w:spacing w:val="-1"/>
              </w:rPr>
              <w:t xml:space="preserve"> </w:t>
            </w:r>
            <w:r w:rsidRPr="0065374D">
              <w:t>Coordinator</w:t>
            </w:r>
            <w:r w:rsidRPr="0065374D">
              <w:rPr>
                <w:spacing w:val="-5"/>
              </w:rPr>
              <w:t xml:space="preserve"> </w:t>
            </w:r>
            <w:r w:rsidRPr="0065374D">
              <w:t>with</w:t>
            </w:r>
            <w:r w:rsidRPr="0065374D">
              <w:rPr>
                <w:spacing w:val="-2"/>
              </w:rPr>
              <w:t xml:space="preserve"> </w:t>
            </w:r>
            <w:r w:rsidRPr="0065374D">
              <w:t>preparation</w:t>
            </w:r>
            <w:r w:rsidRPr="0065374D">
              <w:rPr>
                <w:spacing w:val="-6"/>
              </w:rPr>
              <w:t xml:space="preserve"> </w:t>
            </w:r>
            <w:r w:rsidR="000C78AD" w:rsidRPr="0065374D">
              <w:rPr>
                <w:spacing w:val="-6"/>
              </w:rPr>
              <w:t xml:space="preserve">and review of data for the </w:t>
            </w:r>
            <w:r w:rsidRPr="0065374D">
              <w:t>BAS</w:t>
            </w:r>
            <w:r w:rsidRPr="0065374D">
              <w:rPr>
                <w:spacing w:val="-3"/>
              </w:rPr>
              <w:t xml:space="preserve"> </w:t>
            </w:r>
            <w:r w:rsidRPr="0065374D">
              <w:t>and</w:t>
            </w:r>
            <w:r w:rsidRPr="0065374D">
              <w:rPr>
                <w:spacing w:val="-3"/>
              </w:rPr>
              <w:t xml:space="preserve"> </w:t>
            </w:r>
            <w:r w:rsidRPr="0065374D">
              <w:t>FBT</w:t>
            </w:r>
            <w:r w:rsidRPr="0065374D">
              <w:rPr>
                <w:spacing w:val="-2"/>
              </w:rPr>
              <w:t xml:space="preserve"> returns</w:t>
            </w:r>
            <w:r w:rsidR="000C78AD" w:rsidRPr="0065374D">
              <w:rPr>
                <w:spacing w:val="-2"/>
              </w:rPr>
              <w:t>, maintaining all supporting information.</w:t>
            </w:r>
          </w:p>
        </w:tc>
        <w:tc>
          <w:tcPr>
            <w:tcW w:w="1324" w:type="dxa"/>
          </w:tcPr>
          <w:p w14:paraId="4C204A4D" w14:textId="0474605B" w:rsidR="00AC5506" w:rsidRPr="0065374D" w:rsidRDefault="006D74AF" w:rsidP="00AC5506">
            <w:pPr>
              <w:jc w:val="center"/>
              <w:rPr>
                <w:b/>
                <w:bCs/>
              </w:rPr>
            </w:pPr>
            <w:r w:rsidRPr="0065374D">
              <w:rPr>
                <w:b/>
                <w:bCs/>
              </w:rPr>
              <w:lastRenderedPageBreak/>
              <w:t>60</w:t>
            </w:r>
          </w:p>
        </w:tc>
      </w:tr>
      <w:tr w:rsidR="0065374D" w:rsidRPr="0065374D" w14:paraId="32D0199D" w14:textId="77777777" w:rsidTr="00B849D4">
        <w:trPr>
          <w:trHeight w:val="523"/>
        </w:trPr>
        <w:tc>
          <w:tcPr>
            <w:tcW w:w="1696" w:type="dxa"/>
          </w:tcPr>
          <w:p w14:paraId="0B794DCD" w14:textId="1E9D2E4C" w:rsidR="006D74AF" w:rsidRPr="0065374D" w:rsidRDefault="006D74AF" w:rsidP="00AC5506">
            <w:pPr>
              <w:spacing w:before="6" w:line="276" w:lineRule="auto"/>
            </w:pPr>
            <w:r w:rsidRPr="0065374D">
              <w:t>Rates and Revenue</w:t>
            </w:r>
          </w:p>
        </w:tc>
        <w:tc>
          <w:tcPr>
            <w:tcW w:w="6160" w:type="dxa"/>
          </w:tcPr>
          <w:p w14:paraId="09C19A05" w14:textId="77777777" w:rsidR="006D74AF" w:rsidRPr="0065374D" w:rsidRDefault="006D74AF" w:rsidP="006D74AF">
            <w:pPr>
              <w:pStyle w:val="BodyText"/>
              <w:rPr>
                <w:sz w:val="22"/>
                <w:szCs w:val="22"/>
              </w:rPr>
            </w:pPr>
            <w:r w:rsidRPr="0065374D">
              <w:rPr>
                <w:sz w:val="22"/>
                <w:szCs w:val="22"/>
              </w:rPr>
              <w:t>Support the Coordinator Finance with the administration and control of the Shire’s rates and accounts receivable responsibilities.</w:t>
            </w:r>
          </w:p>
          <w:p w14:paraId="628088F2" w14:textId="7A32AF79" w:rsidR="006D74AF" w:rsidRPr="0065374D" w:rsidRDefault="00FE178F" w:rsidP="00FE178F">
            <w:pPr>
              <w:pStyle w:val="TableParagraph"/>
              <w:tabs>
                <w:tab w:val="left" w:pos="467"/>
                <w:tab w:val="left" w:pos="468"/>
              </w:tabs>
              <w:spacing w:before="0" w:line="280" w:lineRule="exact"/>
              <w:ind w:left="0"/>
              <w:rPr>
                <w:b/>
                <w:bCs/>
                <w:u w:val="single"/>
              </w:rPr>
            </w:pPr>
            <w:r w:rsidRPr="0065374D">
              <w:rPr>
                <w:b/>
                <w:bCs/>
                <w:u w:val="single"/>
              </w:rPr>
              <w:t xml:space="preserve">Rating: </w:t>
            </w:r>
          </w:p>
          <w:p w14:paraId="668D0376" w14:textId="77777777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>Levy rates in accordance with the Local Government Act statutory legislation and Shire policy, including:</w:t>
            </w:r>
          </w:p>
          <w:p w14:paraId="4ACABB34" w14:textId="77777777" w:rsidR="00FE178F" w:rsidRPr="0065374D" w:rsidRDefault="00FE178F" w:rsidP="00FE178F">
            <w:pPr>
              <w:pStyle w:val="ListParagraph"/>
              <w:numPr>
                <w:ilvl w:val="1"/>
                <w:numId w:val="11"/>
              </w:numPr>
              <w:spacing w:before="6" w:line="276" w:lineRule="auto"/>
            </w:pPr>
            <w:r w:rsidRPr="0065374D">
              <w:t>Pro rata waste collection and rural tip passes</w:t>
            </w:r>
          </w:p>
          <w:p w14:paraId="5E7CA4F6" w14:textId="77777777" w:rsidR="00FE178F" w:rsidRPr="0065374D" w:rsidRDefault="00FE178F" w:rsidP="00FE178F">
            <w:pPr>
              <w:pStyle w:val="ListParagraph"/>
              <w:numPr>
                <w:ilvl w:val="1"/>
                <w:numId w:val="11"/>
              </w:numPr>
              <w:spacing w:before="6" w:line="276" w:lineRule="auto"/>
            </w:pPr>
            <w:r w:rsidRPr="0065374D">
              <w:t>Differential rating (tourism)</w:t>
            </w:r>
          </w:p>
          <w:p w14:paraId="6ED160DC" w14:textId="77777777" w:rsidR="00FE178F" w:rsidRPr="0065374D" w:rsidRDefault="00FE178F" w:rsidP="00FE178F">
            <w:pPr>
              <w:pStyle w:val="ListParagraph"/>
              <w:numPr>
                <w:ilvl w:val="1"/>
                <w:numId w:val="11"/>
              </w:numPr>
              <w:spacing w:before="6" w:line="276" w:lineRule="auto"/>
            </w:pPr>
            <w:r w:rsidRPr="0065374D">
              <w:t>UV Tiered (UV1, UV2 and UV3)</w:t>
            </w:r>
          </w:p>
          <w:p w14:paraId="717DBC8C" w14:textId="77777777" w:rsidR="00FE178F" w:rsidRPr="0065374D" w:rsidRDefault="00FE178F" w:rsidP="00FE178F">
            <w:pPr>
              <w:pStyle w:val="ListParagraph"/>
              <w:numPr>
                <w:ilvl w:val="1"/>
                <w:numId w:val="11"/>
              </w:numPr>
              <w:spacing w:before="6" w:line="276" w:lineRule="auto"/>
            </w:pPr>
            <w:r w:rsidRPr="0065374D">
              <w:t>UV and GRV Schedule</w:t>
            </w:r>
          </w:p>
          <w:p w14:paraId="7FB744F6" w14:textId="77777777" w:rsidR="00FE178F" w:rsidRPr="0065374D" w:rsidRDefault="00FE178F" w:rsidP="00FE178F">
            <w:pPr>
              <w:pStyle w:val="ListParagraph"/>
              <w:numPr>
                <w:ilvl w:val="1"/>
                <w:numId w:val="11"/>
              </w:numPr>
              <w:spacing w:before="6" w:line="276" w:lineRule="auto"/>
            </w:pPr>
            <w:r w:rsidRPr="0065374D">
              <w:t>Mining tenements</w:t>
            </w:r>
          </w:p>
          <w:p w14:paraId="34DD862E" w14:textId="77777777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>Assist with modelling the rate in the dollars for the differential rating.</w:t>
            </w:r>
          </w:p>
          <w:p w14:paraId="27BD73D7" w14:textId="77777777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 xml:space="preserve">Levy and collect Emergency Services Levy in accordance with statutory legislation. </w:t>
            </w:r>
          </w:p>
          <w:p w14:paraId="033BAE55" w14:textId="4E2CCCE6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>Issue rate notices, instalment notices, interim rating and final notices as per Council Policy.</w:t>
            </w:r>
          </w:p>
          <w:p w14:paraId="70782223" w14:textId="77777777" w:rsidR="00FE178F" w:rsidRPr="0065374D" w:rsidRDefault="00FE178F" w:rsidP="00FE178F">
            <w:pPr>
              <w:spacing w:before="6" w:line="276" w:lineRule="auto"/>
              <w:rPr>
                <w:b/>
                <w:bCs/>
              </w:rPr>
            </w:pPr>
            <w:r w:rsidRPr="0065374D">
              <w:rPr>
                <w:b/>
                <w:bCs/>
              </w:rPr>
              <w:t>Rating and Revenue</w:t>
            </w:r>
          </w:p>
          <w:p w14:paraId="0182D75E" w14:textId="6AAF4E6D" w:rsidR="00FE178F" w:rsidRPr="0065374D" w:rsidRDefault="00FE178F" w:rsidP="009B4D39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 xml:space="preserve">Respond to rate enquiries from external and internal customers in a professional, accurate and timely manner. Including, taking </w:t>
            </w:r>
            <w:proofErr w:type="spellStart"/>
            <w:proofErr w:type="gramStart"/>
            <w:r w:rsidRPr="0065374D">
              <w:t>payments,providing</w:t>
            </w:r>
            <w:proofErr w:type="spellEnd"/>
            <w:proofErr w:type="gramEnd"/>
            <w:r w:rsidRPr="0065374D">
              <w:t xml:space="preserve"> balances, setting up payment plans, providing notices, etc.</w:t>
            </w:r>
          </w:p>
          <w:p w14:paraId="138CD711" w14:textId="77777777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 xml:space="preserve">Electronic Advice of Sales- prepare order and requisition data for internal department responses </w:t>
            </w:r>
            <w:r w:rsidRPr="0065374D">
              <w:lastRenderedPageBreak/>
              <w:t>and provide rating information within the required time frames to acting settlement agents.</w:t>
            </w:r>
          </w:p>
          <w:p w14:paraId="6FD55BCA" w14:textId="07F53317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>Debt recovery processing- review outstanding balances and follow debt recovery processes as per Shire policy</w:t>
            </w:r>
            <w:r w:rsidR="009B4D39" w:rsidRPr="0065374D">
              <w:t xml:space="preserve"> and internal procedures</w:t>
            </w:r>
            <w:r w:rsidRPr="0065374D">
              <w:t xml:space="preserve">. </w:t>
            </w:r>
          </w:p>
          <w:p w14:paraId="672F3A2C" w14:textId="77777777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>Monitor excess rates and process rates refunds as required.</w:t>
            </w:r>
          </w:p>
          <w:p w14:paraId="19D78DDE" w14:textId="77777777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>Process property transfers, welcome letters and follow up on overdue property transfers.</w:t>
            </w:r>
          </w:p>
          <w:p w14:paraId="7D6A35FE" w14:textId="77777777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>Assist with preparation of complete accurate statutory returns in a timely manner according to imposed deadlines.</w:t>
            </w:r>
          </w:p>
          <w:p w14:paraId="6686A757" w14:textId="30912C2F" w:rsidR="00FE178F" w:rsidRPr="0065374D" w:rsidRDefault="00FE178F" w:rsidP="00FE178F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 w:rsidRPr="0065374D">
              <w:t>To continually review procedures and processes to improve and enhance Council's rating functions</w:t>
            </w:r>
          </w:p>
          <w:p w14:paraId="7CC12AD4" w14:textId="77777777" w:rsidR="006D74AF" w:rsidRPr="0065374D" w:rsidRDefault="006D74AF" w:rsidP="006D74AF">
            <w:pPr>
              <w:pStyle w:val="TableParagraph"/>
              <w:tabs>
                <w:tab w:val="left" w:pos="467"/>
                <w:tab w:val="left" w:pos="468"/>
              </w:tabs>
              <w:spacing w:before="0" w:line="280" w:lineRule="exact"/>
            </w:pPr>
          </w:p>
          <w:p w14:paraId="6ABFB74F" w14:textId="77777777" w:rsidR="00FE178F" w:rsidRPr="0065374D" w:rsidRDefault="00FE178F" w:rsidP="00FE178F">
            <w:pPr>
              <w:spacing w:before="6" w:line="276" w:lineRule="auto"/>
              <w:rPr>
                <w:b/>
                <w:bCs/>
              </w:rPr>
            </w:pPr>
            <w:r w:rsidRPr="0065374D">
              <w:rPr>
                <w:b/>
                <w:bCs/>
              </w:rPr>
              <w:t>Records, property database and media</w:t>
            </w:r>
          </w:p>
          <w:p w14:paraId="57E847A3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Ensure accurate and timely record management of all correspondence and documents.</w:t>
            </w:r>
          </w:p>
          <w:p w14:paraId="05110E50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Ensure all requests for information comply with FOI requirements and Shire policies.</w:t>
            </w:r>
          </w:p>
          <w:p w14:paraId="7A5EBB39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Update Change of Name/Address notifications.</w:t>
            </w:r>
          </w:p>
          <w:p w14:paraId="2A3FDBD0" w14:textId="54B04C13" w:rsidR="00FE178F" w:rsidRPr="0065374D" w:rsidRDefault="00FE178F" w:rsidP="009B4D39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Ensure all requests for Owner information comply with the Local</w:t>
            </w:r>
            <w:r w:rsidR="009B4D39" w:rsidRPr="0065374D">
              <w:t xml:space="preserve"> </w:t>
            </w:r>
            <w:r w:rsidRPr="0065374D">
              <w:t>Government Act.</w:t>
            </w:r>
          </w:p>
          <w:p w14:paraId="6EE07D8C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Responsible for data integrity and management of Shire Rates database.</w:t>
            </w:r>
          </w:p>
          <w:p w14:paraId="353D4C89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Complete and lodge building and improvement completions with Landgate.</w:t>
            </w:r>
          </w:p>
          <w:p w14:paraId="0BADF42C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Manage and maintain rates master list.</w:t>
            </w:r>
          </w:p>
          <w:p w14:paraId="2B7CEBA4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Administer Street Numbering of all Rural, Special Rural and Residential properties in the Shire.</w:t>
            </w:r>
          </w:p>
          <w:p w14:paraId="36B99619" w14:textId="6E6D8395" w:rsidR="00FE178F" w:rsidRPr="0065374D" w:rsidRDefault="00FE178F" w:rsidP="009B4D39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Liaise with Landgate regarding all queries received to ensure accurate</w:t>
            </w:r>
            <w:r w:rsidR="009B4D39" w:rsidRPr="0065374D">
              <w:t xml:space="preserve"> </w:t>
            </w:r>
            <w:r w:rsidRPr="0065374D">
              <w:t>maintenance of Council's property database.</w:t>
            </w:r>
          </w:p>
          <w:p w14:paraId="08C01EB8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Rates notice production, lodgement and approval via Shire's distribution contractor.</w:t>
            </w:r>
          </w:p>
          <w:p w14:paraId="132E1D56" w14:textId="77777777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Assist Media with production of yearly Rates brochure.</w:t>
            </w:r>
          </w:p>
          <w:p w14:paraId="69F14D08" w14:textId="12E26AF6" w:rsidR="00FE178F" w:rsidRPr="0065374D" w:rsidRDefault="00FE178F" w:rsidP="00FE178F">
            <w:pPr>
              <w:pStyle w:val="ListParagraph"/>
              <w:numPr>
                <w:ilvl w:val="0"/>
                <w:numId w:val="22"/>
              </w:numPr>
              <w:spacing w:before="6" w:line="276" w:lineRule="auto"/>
            </w:pPr>
            <w:r w:rsidRPr="0065374D">
              <w:t>Updating AMR Shire Revenue website pages.</w:t>
            </w:r>
          </w:p>
          <w:p w14:paraId="4EB30707" w14:textId="77777777" w:rsidR="00FE178F" w:rsidRPr="0065374D" w:rsidRDefault="00FE178F" w:rsidP="006D74AF">
            <w:pPr>
              <w:pStyle w:val="TableParagraph"/>
              <w:tabs>
                <w:tab w:val="left" w:pos="467"/>
                <w:tab w:val="left" w:pos="468"/>
              </w:tabs>
              <w:spacing w:before="0" w:line="280" w:lineRule="exact"/>
            </w:pPr>
          </w:p>
          <w:p w14:paraId="2A903648" w14:textId="77777777" w:rsidR="00FE178F" w:rsidRPr="0065374D" w:rsidRDefault="00FE178F" w:rsidP="00FE178F">
            <w:pPr>
              <w:spacing w:before="6" w:line="276" w:lineRule="auto"/>
              <w:rPr>
                <w:b/>
                <w:bCs/>
              </w:rPr>
            </w:pPr>
            <w:r w:rsidRPr="0065374D">
              <w:rPr>
                <w:b/>
                <w:bCs/>
              </w:rPr>
              <w:t>Pensioners</w:t>
            </w:r>
          </w:p>
          <w:p w14:paraId="398AD248" w14:textId="77777777" w:rsidR="00FE178F" w:rsidRPr="0065374D" w:rsidRDefault="00FE178F" w:rsidP="00FE178F">
            <w:pPr>
              <w:pStyle w:val="ListParagraph"/>
              <w:numPr>
                <w:ilvl w:val="0"/>
                <w:numId w:val="23"/>
              </w:numPr>
              <w:spacing w:before="6" w:line="276" w:lineRule="auto"/>
            </w:pPr>
            <w:r w:rsidRPr="0065374D">
              <w:t>Assess and apply Pensioner Rebate applications in accordance with Revenue WA regulations.</w:t>
            </w:r>
          </w:p>
          <w:p w14:paraId="78D81F1A" w14:textId="5A97006A" w:rsidR="00FE178F" w:rsidRPr="0065374D" w:rsidRDefault="00FE178F" w:rsidP="009B4D39">
            <w:pPr>
              <w:pStyle w:val="ListParagraph"/>
              <w:numPr>
                <w:ilvl w:val="0"/>
                <w:numId w:val="23"/>
              </w:numPr>
              <w:spacing w:before="6" w:line="276" w:lineRule="auto"/>
            </w:pPr>
            <w:r w:rsidRPr="0065374D">
              <w:t xml:space="preserve">All aspects of Pensioner rebates, including lodging </w:t>
            </w:r>
            <w:r w:rsidRPr="0065374D">
              <w:lastRenderedPageBreak/>
              <w:t xml:space="preserve">claims, correcting rejections, assisting with Annual Deferred Certificate and claim for submission. </w:t>
            </w:r>
          </w:p>
          <w:p w14:paraId="47AA5956" w14:textId="77777777" w:rsidR="00FE178F" w:rsidRPr="0065374D" w:rsidRDefault="00FE178F" w:rsidP="006D74AF">
            <w:pPr>
              <w:pStyle w:val="TableParagraph"/>
              <w:tabs>
                <w:tab w:val="left" w:pos="467"/>
                <w:tab w:val="left" w:pos="468"/>
              </w:tabs>
              <w:spacing w:before="0" w:line="280" w:lineRule="exact"/>
            </w:pPr>
          </w:p>
        </w:tc>
        <w:tc>
          <w:tcPr>
            <w:tcW w:w="1324" w:type="dxa"/>
          </w:tcPr>
          <w:p w14:paraId="6D3203FE" w14:textId="0E12FA30" w:rsidR="006D74AF" w:rsidRPr="0065374D" w:rsidRDefault="006D74AF" w:rsidP="00AC5506">
            <w:pPr>
              <w:jc w:val="center"/>
              <w:rPr>
                <w:spacing w:val="-5"/>
              </w:rPr>
            </w:pPr>
            <w:r w:rsidRPr="0065374D">
              <w:rPr>
                <w:spacing w:val="-5"/>
              </w:rPr>
              <w:lastRenderedPageBreak/>
              <w:t>40</w:t>
            </w:r>
          </w:p>
        </w:tc>
      </w:tr>
      <w:tr w:rsidR="0065374D" w:rsidRPr="0065374D" w14:paraId="3A7C310A" w14:textId="77777777" w:rsidTr="00B849D4">
        <w:trPr>
          <w:trHeight w:val="523"/>
        </w:trPr>
        <w:tc>
          <w:tcPr>
            <w:tcW w:w="1696" w:type="dxa"/>
          </w:tcPr>
          <w:p w14:paraId="008F3679" w14:textId="75C3AC06" w:rsidR="00FE178F" w:rsidRPr="0065374D" w:rsidRDefault="00FE178F" w:rsidP="00AC5506">
            <w:pPr>
              <w:spacing w:before="6" w:line="276" w:lineRule="auto"/>
            </w:pPr>
            <w:r w:rsidRPr="0065374D">
              <w:lastRenderedPageBreak/>
              <w:t>Other</w:t>
            </w:r>
          </w:p>
        </w:tc>
        <w:tc>
          <w:tcPr>
            <w:tcW w:w="6160" w:type="dxa"/>
          </w:tcPr>
          <w:p w14:paraId="29DC7B37" w14:textId="18D635D9" w:rsidR="00FE178F" w:rsidRPr="0065374D" w:rsidRDefault="00FE178F" w:rsidP="00FE178F">
            <w:pPr>
              <w:pStyle w:val="TableParagraph"/>
              <w:tabs>
                <w:tab w:val="left" w:pos="467"/>
                <w:tab w:val="left" w:pos="468"/>
              </w:tabs>
              <w:spacing w:before="0" w:line="280" w:lineRule="exact"/>
            </w:pPr>
            <w:r w:rsidRPr="0065374D">
              <w:t xml:space="preserve">Other duties as requested by the Finance Coordinator, </w:t>
            </w:r>
            <w:proofErr w:type="gramStart"/>
            <w:r w:rsidRPr="0065374D">
              <w:t>including :</w:t>
            </w:r>
            <w:proofErr w:type="gramEnd"/>
            <w:r w:rsidRPr="0065374D">
              <w:t xml:space="preserve"> </w:t>
            </w:r>
          </w:p>
          <w:p w14:paraId="3A3C9FBF" w14:textId="2FC7ED1A" w:rsidR="00FE178F" w:rsidRPr="0065374D" w:rsidRDefault="00FE178F" w:rsidP="00FE178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0" w:line="280" w:lineRule="exact"/>
            </w:pPr>
            <w:r w:rsidRPr="0065374D">
              <w:t xml:space="preserve">Elections – assessing and checking eligibility, </w:t>
            </w:r>
            <w:r w:rsidR="009B4D39" w:rsidRPr="0065374D">
              <w:t>aiding</w:t>
            </w:r>
            <w:r w:rsidRPr="0065374D">
              <w:t xml:space="preserve"> the Returning officer and any other assistance and processing needed as part of the Election process.</w:t>
            </w:r>
          </w:p>
          <w:p w14:paraId="4BDFA94E" w14:textId="5D3EEF57" w:rsidR="00FE178F" w:rsidRPr="0065374D" w:rsidRDefault="009B4D39" w:rsidP="00FE178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0" w:line="280" w:lineRule="exact"/>
            </w:pPr>
            <w:r w:rsidRPr="0065374D">
              <w:t xml:space="preserve">Assist in Accounts Payable and Receivable as required. </w:t>
            </w:r>
          </w:p>
          <w:p w14:paraId="11296CEB" w14:textId="77777777" w:rsidR="00FE178F" w:rsidRPr="0065374D" w:rsidRDefault="00FE178F" w:rsidP="006D74A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324" w:type="dxa"/>
          </w:tcPr>
          <w:p w14:paraId="7D44263F" w14:textId="77777777" w:rsidR="00FE178F" w:rsidRPr="0065374D" w:rsidRDefault="00FE178F" w:rsidP="00AC5506">
            <w:pPr>
              <w:jc w:val="center"/>
              <w:rPr>
                <w:spacing w:val="-5"/>
              </w:rPr>
            </w:pPr>
          </w:p>
        </w:tc>
      </w:tr>
      <w:tr w:rsidR="0065374D" w:rsidRPr="0065374D" w14:paraId="7AE27799" w14:textId="77777777" w:rsidTr="00B069C5">
        <w:trPr>
          <w:trHeight w:val="1568"/>
        </w:trPr>
        <w:tc>
          <w:tcPr>
            <w:tcW w:w="9180" w:type="dxa"/>
            <w:gridSpan w:val="3"/>
          </w:tcPr>
          <w:p w14:paraId="70DF1D99" w14:textId="77777777" w:rsidR="00A860EF" w:rsidRPr="0065374D" w:rsidRDefault="00A860EF" w:rsidP="00AC5506">
            <w:pPr>
              <w:rPr>
                <w:b/>
                <w:bCs/>
              </w:rPr>
            </w:pPr>
            <w:r w:rsidRPr="0065374D">
              <w:rPr>
                <w:b/>
                <w:bCs/>
              </w:rPr>
              <w:t>General</w:t>
            </w:r>
          </w:p>
          <w:p w14:paraId="3A7F779C" w14:textId="77777777" w:rsidR="00A860EF" w:rsidRPr="0065374D" w:rsidRDefault="00A860EF" w:rsidP="00AC5506">
            <w:pPr>
              <w:spacing w:before="6" w:line="276" w:lineRule="auto"/>
            </w:pPr>
          </w:p>
          <w:p w14:paraId="471C6D6B" w14:textId="77777777" w:rsidR="00A860EF" w:rsidRPr="0065374D" w:rsidRDefault="00A860EF" w:rsidP="00AC5506">
            <w:pPr>
              <w:pStyle w:val="ListParagraph"/>
              <w:numPr>
                <w:ilvl w:val="2"/>
                <w:numId w:val="16"/>
              </w:numPr>
              <w:tabs>
                <w:tab w:val="left" w:pos="826"/>
                <w:tab w:val="left" w:pos="827"/>
              </w:tabs>
              <w:spacing w:line="240" w:lineRule="auto"/>
              <w:ind w:right="500"/>
            </w:pPr>
            <w:r w:rsidRPr="0065374D">
              <w:t>Work</w:t>
            </w:r>
            <w:r w:rsidRPr="0065374D">
              <w:rPr>
                <w:spacing w:val="-5"/>
              </w:rPr>
              <w:t xml:space="preserve"> </w:t>
            </w:r>
            <w:r w:rsidRPr="0065374D">
              <w:t>in</w:t>
            </w:r>
            <w:r w:rsidRPr="0065374D">
              <w:rPr>
                <w:spacing w:val="-2"/>
              </w:rPr>
              <w:t xml:space="preserve"> </w:t>
            </w:r>
            <w:r w:rsidRPr="0065374D">
              <w:t>accordance</w:t>
            </w:r>
            <w:r w:rsidRPr="0065374D">
              <w:rPr>
                <w:spacing w:val="-4"/>
              </w:rPr>
              <w:t xml:space="preserve"> </w:t>
            </w:r>
            <w:r w:rsidRPr="0065374D">
              <w:t>with</w:t>
            </w:r>
            <w:r w:rsidRPr="0065374D">
              <w:rPr>
                <w:spacing w:val="-5"/>
              </w:rPr>
              <w:t xml:space="preserve"> </w:t>
            </w:r>
            <w:r w:rsidRPr="0065374D">
              <w:t>the</w:t>
            </w:r>
            <w:r w:rsidRPr="0065374D">
              <w:rPr>
                <w:spacing w:val="-1"/>
              </w:rPr>
              <w:t xml:space="preserve"> </w:t>
            </w:r>
            <w:r w:rsidRPr="0065374D">
              <w:t>Shire’s</w:t>
            </w:r>
            <w:r w:rsidRPr="0065374D">
              <w:rPr>
                <w:spacing w:val="-2"/>
              </w:rPr>
              <w:t xml:space="preserve"> </w:t>
            </w:r>
            <w:r w:rsidRPr="0065374D">
              <w:t>defined</w:t>
            </w:r>
            <w:r w:rsidRPr="0065374D">
              <w:rPr>
                <w:spacing w:val="-2"/>
              </w:rPr>
              <w:t xml:space="preserve"> </w:t>
            </w:r>
            <w:r w:rsidRPr="0065374D">
              <w:t>Equal</w:t>
            </w:r>
            <w:r w:rsidRPr="0065374D">
              <w:rPr>
                <w:spacing w:val="-2"/>
              </w:rPr>
              <w:t xml:space="preserve"> </w:t>
            </w:r>
            <w:r w:rsidRPr="0065374D">
              <w:t>Opportunity</w:t>
            </w:r>
            <w:r w:rsidRPr="0065374D">
              <w:rPr>
                <w:spacing w:val="-2"/>
              </w:rPr>
              <w:t xml:space="preserve"> </w:t>
            </w:r>
            <w:r w:rsidRPr="0065374D">
              <w:t>and</w:t>
            </w:r>
            <w:r w:rsidRPr="0065374D">
              <w:rPr>
                <w:spacing w:val="-3"/>
              </w:rPr>
              <w:t xml:space="preserve"> </w:t>
            </w:r>
            <w:r w:rsidRPr="0065374D">
              <w:t>Anti-discrimination</w:t>
            </w:r>
            <w:r w:rsidRPr="0065374D">
              <w:rPr>
                <w:spacing w:val="-3"/>
              </w:rPr>
              <w:t xml:space="preserve"> </w:t>
            </w:r>
            <w:r w:rsidRPr="0065374D">
              <w:t>legislation,</w:t>
            </w:r>
            <w:r w:rsidRPr="0065374D">
              <w:rPr>
                <w:spacing w:val="-2"/>
              </w:rPr>
              <w:t xml:space="preserve"> </w:t>
            </w:r>
            <w:r w:rsidRPr="0065374D">
              <w:t>procedures</w:t>
            </w:r>
            <w:r w:rsidRPr="0065374D">
              <w:rPr>
                <w:spacing w:val="-2"/>
              </w:rPr>
              <w:t xml:space="preserve"> </w:t>
            </w:r>
            <w:r w:rsidRPr="0065374D">
              <w:t xml:space="preserve">&amp; </w:t>
            </w:r>
            <w:r w:rsidRPr="0065374D">
              <w:rPr>
                <w:spacing w:val="-2"/>
              </w:rPr>
              <w:t>principles;</w:t>
            </w:r>
          </w:p>
          <w:p w14:paraId="289E823B" w14:textId="77777777" w:rsidR="00A860EF" w:rsidRPr="0065374D" w:rsidRDefault="00A860EF" w:rsidP="00AC5506">
            <w:pPr>
              <w:pStyle w:val="ListParagraph"/>
              <w:numPr>
                <w:ilvl w:val="2"/>
                <w:numId w:val="16"/>
              </w:numPr>
              <w:tabs>
                <w:tab w:val="left" w:pos="826"/>
                <w:tab w:val="left" w:pos="827"/>
              </w:tabs>
              <w:spacing w:line="279" w:lineRule="exact"/>
              <w:ind w:hanging="361"/>
            </w:pPr>
            <w:r w:rsidRPr="0065374D">
              <w:t>Work</w:t>
            </w:r>
            <w:r w:rsidRPr="0065374D">
              <w:rPr>
                <w:spacing w:val="-9"/>
              </w:rPr>
              <w:t xml:space="preserve"> </w:t>
            </w:r>
            <w:r w:rsidRPr="0065374D">
              <w:t>in</w:t>
            </w:r>
            <w:r w:rsidRPr="0065374D">
              <w:rPr>
                <w:spacing w:val="-4"/>
              </w:rPr>
              <w:t xml:space="preserve"> </w:t>
            </w:r>
            <w:r w:rsidRPr="0065374D">
              <w:t>accordance</w:t>
            </w:r>
            <w:r w:rsidRPr="0065374D">
              <w:rPr>
                <w:spacing w:val="-5"/>
              </w:rPr>
              <w:t xml:space="preserve"> </w:t>
            </w:r>
            <w:r w:rsidRPr="0065374D">
              <w:t>with</w:t>
            </w:r>
            <w:r w:rsidRPr="0065374D">
              <w:rPr>
                <w:spacing w:val="-7"/>
              </w:rPr>
              <w:t xml:space="preserve"> </w:t>
            </w:r>
            <w:r w:rsidRPr="0065374D">
              <w:t>the</w:t>
            </w:r>
            <w:r w:rsidRPr="0065374D">
              <w:rPr>
                <w:spacing w:val="-2"/>
              </w:rPr>
              <w:t xml:space="preserve"> </w:t>
            </w:r>
            <w:r w:rsidRPr="0065374D">
              <w:t>Shire’s</w:t>
            </w:r>
            <w:r w:rsidRPr="0065374D">
              <w:rPr>
                <w:spacing w:val="-4"/>
              </w:rPr>
              <w:t xml:space="preserve"> </w:t>
            </w:r>
            <w:r w:rsidRPr="0065374D">
              <w:t>defined</w:t>
            </w:r>
            <w:r w:rsidRPr="0065374D">
              <w:rPr>
                <w:spacing w:val="-4"/>
              </w:rPr>
              <w:t xml:space="preserve"> </w:t>
            </w:r>
            <w:r w:rsidRPr="0065374D">
              <w:t>Occupational</w:t>
            </w:r>
            <w:r w:rsidRPr="0065374D">
              <w:rPr>
                <w:spacing w:val="-3"/>
              </w:rPr>
              <w:t xml:space="preserve"> </w:t>
            </w:r>
            <w:r w:rsidRPr="0065374D">
              <w:t>Safety</w:t>
            </w:r>
            <w:r w:rsidRPr="0065374D">
              <w:rPr>
                <w:spacing w:val="-4"/>
              </w:rPr>
              <w:t xml:space="preserve"> </w:t>
            </w:r>
            <w:r w:rsidRPr="0065374D">
              <w:t>and</w:t>
            </w:r>
            <w:r w:rsidRPr="0065374D">
              <w:rPr>
                <w:spacing w:val="-5"/>
              </w:rPr>
              <w:t xml:space="preserve"> </w:t>
            </w:r>
            <w:r w:rsidRPr="0065374D">
              <w:t>Health</w:t>
            </w:r>
            <w:r w:rsidRPr="0065374D">
              <w:rPr>
                <w:spacing w:val="-3"/>
              </w:rPr>
              <w:t xml:space="preserve"> </w:t>
            </w:r>
            <w:r w:rsidRPr="0065374D">
              <w:t>legislation,</w:t>
            </w:r>
            <w:r w:rsidRPr="0065374D">
              <w:rPr>
                <w:spacing w:val="-4"/>
              </w:rPr>
              <w:t xml:space="preserve"> </w:t>
            </w:r>
            <w:r w:rsidRPr="0065374D">
              <w:t>procedures</w:t>
            </w:r>
            <w:r w:rsidRPr="0065374D">
              <w:rPr>
                <w:spacing w:val="-3"/>
              </w:rPr>
              <w:t xml:space="preserve"> </w:t>
            </w:r>
            <w:r w:rsidRPr="0065374D">
              <w:t>and</w:t>
            </w:r>
            <w:r w:rsidRPr="0065374D">
              <w:rPr>
                <w:spacing w:val="-4"/>
              </w:rPr>
              <w:t xml:space="preserve"> </w:t>
            </w:r>
            <w:r w:rsidRPr="0065374D">
              <w:rPr>
                <w:spacing w:val="-2"/>
              </w:rPr>
              <w:t>principles;</w:t>
            </w:r>
          </w:p>
          <w:p w14:paraId="63F6DB89" w14:textId="77777777" w:rsidR="00A860EF" w:rsidRPr="0065374D" w:rsidRDefault="00A860EF" w:rsidP="00AC5506">
            <w:pPr>
              <w:pStyle w:val="ListParagraph"/>
              <w:numPr>
                <w:ilvl w:val="2"/>
                <w:numId w:val="16"/>
              </w:numPr>
              <w:tabs>
                <w:tab w:val="left" w:pos="826"/>
                <w:tab w:val="left" w:pos="827"/>
              </w:tabs>
              <w:spacing w:before="1" w:line="240" w:lineRule="auto"/>
              <w:ind w:hanging="361"/>
            </w:pPr>
            <w:r w:rsidRPr="0065374D">
              <w:t>Adhere</w:t>
            </w:r>
            <w:r w:rsidRPr="0065374D">
              <w:rPr>
                <w:spacing w:val="-4"/>
              </w:rPr>
              <w:t xml:space="preserve"> </w:t>
            </w:r>
            <w:r w:rsidRPr="0065374D">
              <w:t>to</w:t>
            </w:r>
            <w:r w:rsidRPr="0065374D">
              <w:rPr>
                <w:spacing w:val="-2"/>
              </w:rPr>
              <w:t xml:space="preserve"> </w:t>
            </w:r>
            <w:r w:rsidRPr="0065374D">
              <w:t>the</w:t>
            </w:r>
            <w:r w:rsidRPr="0065374D">
              <w:rPr>
                <w:spacing w:val="-5"/>
              </w:rPr>
              <w:t xml:space="preserve"> </w:t>
            </w:r>
            <w:r w:rsidRPr="0065374D">
              <w:t>Shire’s</w:t>
            </w:r>
            <w:r w:rsidRPr="0065374D">
              <w:rPr>
                <w:spacing w:val="-3"/>
              </w:rPr>
              <w:t xml:space="preserve"> </w:t>
            </w:r>
            <w:r w:rsidRPr="0065374D">
              <w:t>Code</w:t>
            </w:r>
            <w:r w:rsidRPr="0065374D">
              <w:rPr>
                <w:spacing w:val="-6"/>
              </w:rPr>
              <w:t xml:space="preserve"> </w:t>
            </w:r>
            <w:r w:rsidRPr="0065374D">
              <w:t>of</w:t>
            </w:r>
            <w:r w:rsidRPr="0065374D">
              <w:rPr>
                <w:spacing w:val="-3"/>
              </w:rPr>
              <w:t xml:space="preserve"> </w:t>
            </w:r>
            <w:r w:rsidRPr="0065374D">
              <w:t>Conduct,</w:t>
            </w:r>
            <w:r w:rsidRPr="0065374D">
              <w:rPr>
                <w:spacing w:val="-2"/>
              </w:rPr>
              <w:t xml:space="preserve"> </w:t>
            </w:r>
            <w:r w:rsidRPr="0065374D">
              <w:t>policies</w:t>
            </w:r>
            <w:r w:rsidRPr="0065374D">
              <w:rPr>
                <w:spacing w:val="-4"/>
              </w:rPr>
              <w:t xml:space="preserve"> </w:t>
            </w:r>
            <w:r w:rsidRPr="0065374D">
              <w:t>and</w:t>
            </w:r>
            <w:r w:rsidRPr="0065374D">
              <w:rPr>
                <w:spacing w:val="-4"/>
              </w:rPr>
              <w:t xml:space="preserve"> </w:t>
            </w:r>
            <w:r w:rsidRPr="0065374D">
              <w:t>management</w:t>
            </w:r>
            <w:r w:rsidRPr="0065374D">
              <w:rPr>
                <w:spacing w:val="-3"/>
              </w:rPr>
              <w:t xml:space="preserve"> </w:t>
            </w:r>
            <w:r w:rsidRPr="0065374D">
              <w:t>practices</w:t>
            </w:r>
            <w:r w:rsidRPr="0065374D">
              <w:rPr>
                <w:spacing w:val="-2"/>
              </w:rPr>
              <w:t xml:space="preserve"> </w:t>
            </w:r>
            <w:r w:rsidRPr="0065374D">
              <w:t>as</w:t>
            </w:r>
            <w:r w:rsidRPr="0065374D">
              <w:rPr>
                <w:spacing w:val="-2"/>
              </w:rPr>
              <w:t xml:space="preserve"> </w:t>
            </w:r>
            <w:r w:rsidRPr="0065374D">
              <w:t>amended</w:t>
            </w:r>
            <w:r w:rsidRPr="0065374D">
              <w:rPr>
                <w:spacing w:val="-3"/>
              </w:rPr>
              <w:t xml:space="preserve"> </w:t>
            </w:r>
            <w:r w:rsidRPr="0065374D">
              <w:t>from</w:t>
            </w:r>
            <w:r w:rsidRPr="0065374D">
              <w:rPr>
                <w:spacing w:val="-4"/>
              </w:rPr>
              <w:t xml:space="preserve"> </w:t>
            </w:r>
            <w:r w:rsidRPr="0065374D">
              <w:t>time</w:t>
            </w:r>
            <w:r w:rsidRPr="0065374D">
              <w:rPr>
                <w:spacing w:val="-2"/>
              </w:rPr>
              <w:t xml:space="preserve"> </w:t>
            </w:r>
            <w:r w:rsidRPr="0065374D">
              <w:t>to</w:t>
            </w:r>
            <w:r w:rsidRPr="0065374D">
              <w:rPr>
                <w:spacing w:val="-3"/>
              </w:rPr>
              <w:t xml:space="preserve"> </w:t>
            </w:r>
            <w:r w:rsidRPr="0065374D">
              <w:rPr>
                <w:spacing w:val="-2"/>
              </w:rPr>
              <w:t>time;</w:t>
            </w:r>
          </w:p>
          <w:p w14:paraId="10510943" w14:textId="77777777" w:rsidR="00A860EF" w:rsidRPr="0065374D" w:rsidRDefault="00A860EF" w:rsidP="00AC5506">
            <w:pPr>
              <w:pStyle w:val="ListParagraph"/>
              <w:numPr>
                <w:ilvl w:val="2"/>
                <w:numId w:val="16"/>
              </w:numPr>
              <w:tabs>
                <w:tab w:val="left" w:pos="826"/>
                <w:tab w:val="left" w:pos="827"/>
              </w:tabs>
              <w:spacing w:line="240" w:lineRule="auto"/>
              <w:ind w:hanging="361"/>
            </w:pPr>
            <w:r w:rsidRPr="0065374D">
              <w:t>Contribute</w:t>
            </w:r>
            <w:r w:rsidRPr="0065374D">
              <w:rPr>
                <w:spacing w:val="-8"/>
              </w:rPr>
              <w:t xml:space="preserve"> </w:t>
            </w:r>
            <w:r w:rsidRPr="0065374D">
              <w:t>to</w:t>
            </w:r>
            <w:r w:rsidRPr="0065374D">
              <w:rPr>
                <w:spacing w:val="-5"/>
              </w:rPr>
              <w:t xml:space="preserve"> </w:t>
            </w:r>
            <w:r w:rsidRPr="0065374D">
              <w:t>the</w:t>
            </w:r>
            <w:r w:rsidRPr="0065374D">
              <w:rPr>
                <w:spacing w:val="-5"/>
              </w:rPr>
              <w:t xml:space="preserve"> </w:t>
            </w:r>
            <w:r w:rsidRPr="0065374D">
              <w:t>attainment</w:t>
            </w:r>
            <w:r w:rsidRPr="0065374D">
              <w:rPr>
                <w:spacing w:val="-3"/>
              </w:rPr>
              <w:t xml:space="preserve"> </w:t>
            </w:r>
            <w:r w:rsidRPr="0065374D">
              <w:t>and</w:t>
            </w:r>
            <w:r w:rsidRPr="0065374D">
              <w:rPr>
                <w:spacing w:val="-5"/>
              </w:rPr>
              <w:t xml:space="preserve"> </w:t>
            </w:r>
            <w:r w:rsidRPr="0065374D">
              <w:t>development</w:t>
            </w:r>
            <w:r w:rsidRPr="0065374D">
              <w:rPr>
                <w:spacing w:val="-5"/>
              </w:rPr>
              <w:t xml:space="preserve"> </w:t>
            </w:r>
            <w:r w:rsidRPr="0065374D">
              <w:t>of</w:t>
            </w:r>
            <w:r w:rsidRPr="0065374D">
              <w:rPr>
                <w:spacing w:val="-6"/>
              </w:rPr>
              <w:t xml:space="preserve"> </w:t>
            </w:r>
            <w:r w:rsidRPr="0065374D">
              <w:t>strategic</w:t>
            </w:r>
            <w:r w:rsidRPr="0065374D">
              <w:rPr>
                <w:spacing w:val="-3"/>
              </w:rPr>
              <w:t xml:space="preserve"> </w:t>
            </w:r>
            <w:r w:rsidRPr="0065374D">
              <w:t>plan</w:t>
            </w:r>
            <w:r w:rsidRPr="0065374D">
              <w:rPr>
                <w:spacing w:val="-6"/>
              </w:rPr>
              <w:t xml:space="preserve"> </w:t>
            </w:r>
            <w:r w:rsidRPr="0065374D">
              <w:t>outcomes,</w:t>
            </w:r>
            <w:r w:rsidRPr="0065374D">
              <w:rPr>
                <w:spacing w:val="-5"/>
              </w:rPr>
              <w:t xml:space="preserve"> </w:t>
            </w:r>
            <w:r w:rsidRPr="0065374D">
              <w:t>strategies</w:t>
            </w:r>
            <w:r w:rsidRPr="0065374D">
              <w:rPr>
                <w:spacing w:val="-3"/>
              </w:rPr>
              <w:t xml:space="preserve"> </w:t>
            </w:r>
            <w:r w:rsidRPr="0065374D">
              <w:t>and</w:t>
            </w:r>
            <w:r w:rsidRPr="0065374D">
              <w:rPr>
                <w:spacing w:val="-4"/>
              </w:rPr>
              <w:t xml:space="preserve"> </w:t>
            </w:r>
            <w:r w:rsidRPr="0065374D">
              <w:t>actions;</w:t>
            </w:r>
            <w:r w:rsidRPr="0065374D">
              <w:rPr>
                <w:spacing w:val="-5"/>
              </w:rPr>
              <w:t xml:space="preserve"> and</w:t>
            </w:r>
          </w:p>
          <w:p w14:paraId="0FDD17CC" w14:textId="77777777" w:rsidR="00A860EF" w:rsidRPr="0065374D" w:rsidRDefault="00A860EF" w:rsidP="00092DC7">
            <w:pPr>
              <w:pStyle w:val="ListParagraph"/>
              <w:numPr>
                <w:ilvl w:val="2"/>
                <w:numId w:val="16"/>
              </w:numPr>
              <w:tabs>
                <w:tab w:val="left" w:pos="826"/>
                <w:tab w:val="left" w:pos="827"/>
              </w:tabs>
              <w:spacing w:before="79" w:line="240" w:lineRule="auto"/>
              <w:ind w:hanging="361"/>
              <w:rPr>
                <w:sz w:val="20"/>
              </w:rPr>
            </w:pPr>
            <w:r w:rsidRPr="0065374D">
              <w:t>Ensure</w:t>
            </w:r>
            <w:r w:rsidRPr="0065374D">
              <w:rPr>
                <w:spacing w:val="-5"/>
              </w:rPr>
              <w:t xml:space="preserve"> </w:t>
            </w:r>
            <w:r w:rsidRPr="0065374D">
              <w:t>all</w:t>
            </w:r>
            <w:r w:rsidRPr="0065374D">
              <w:rPr>
                <w:spacing w:val="-4"/>
              </w:rPr>
              <w:t xml:space="preserve"> </w:t>
            </w:r>
            <w:r w:rsidRPr="0065374D">
              <w:t>duties</w:t>
            </w:r>
            <w:r w:rsidRPr="0065374D">
              <w:rPr>
                <w:spacing w:val="-5"/>
              </w:rPr>
              <w:t xml:space="preserve"> </w:t>
            </w:r>
            <w:r w:rsidRPr="0065374D">
              <w:t>as</w:t>
            </w:r>
            <w:r w:rsidRPr="0065374D">
              <w:rPr>
                <w:spacing w:val="-3"/>
              </w:rPr>
              <w:t xml:space="preserve"> </w:t>
            </w:r>
            <w:r w:rsidRPr="0065374D">
              <w:t>directed</w:t>
            </w:r>
            <w:r w:rsidRPr="0065374D">
              <w:rPr>
                <w:spacing w:val="-4"/>
              </w:rPr>
              <w:t xml:space="preserve"> </w:t>
            </w:r>
            <w:r w:rsidRPr="0065374D">
              <w:t>by</w:t>
            </w:r>
            <w:r w:rsidRPr="0065374D">
              <w:rPr>
                <w:spacing w:val="-3"/>
              </w:rPr>
              <w:t xml:space="preserve"> </w:t>
            </w:r>
            <w:r w:rsidRPr="0065374D">
              <w:t>the</w:t>
            </w:r>
            <w:r w:rsidRPr="0065374D">
              <w:rPr>
                <w:spacing w:val="-5"/>
              </w:rPr>
              <w:t xml:space="preserve"> </w:t>
            </w:r>
            <w:r w:rsidRPr="0065374D">
              <w:t>Chief</w:t>
            </w:r>
            <w:r w:rsidRPr="0065374D">
              <w:rPr>
                <w:spacing w:val="-2"/>
              </w:rPr>
              <w:t xml:space="preserve"> </w:t>
            </w:r>
            <w:r w:rsidRPr="0065374D">
              <w:t>Executive</w:t>
            </w:r>
            <w:r w:rsidRPr="0065374D">
              <w:rPr>
                <w:spacing w:val="-5"/>
              </w:rPr>
              <w:t xml:space="preserve"> </w:t>
            </w:r>
            <w:r w:rsidRPr="0065374D">
              <w:t>Officer</w:t>
            </w:r>
            <w:r w:rsidRPr="0065374D">
              <w:rPr>
                <w:spacing w:val="-3"/>
              </w:rPr>
              <w:t xml:space="preserve"> </w:t>
            </w:r>
            <w:r w:rsidRPr="0065374D">
              <w:t>are</w:t>
            </w:r>
            <w:r w:rsidRPr="0065374D">
              <w:rPr>
                <w:spacing w:val="-5"/>
              </w:rPr>
              <w:t xml:space="preserve"> </w:t>
            </w:r>
            <w:r w:rsidRPr="0065374D">
              <w:t>fully</w:t>
            </w:r>
            <w:r w:rsidRPr="0065374D">
              <w:rPr>
                <w:spacing w:val="-1"/>
              </w:rPr>
              <w:t xml:space="preserve"> </w:t>
            </w:r>
            <w:r w:rsidRPr="0065374D">
              <w:rPr>
                <w:spacing w:val="-2"/>
              </w:rPr>
              <w:t>undertaken.</w:t>
            </w:r>
          </w:p>
          <w:p w14:paraId="3319ABD9" w14:textId="14651C34" w:rsidR="00A860EF" w:rsidRPr="0065374D" w:rsidRDefault="00A860EF" w:rsidP="00087A03">
            <w:pPr>
              <w:jc w:val="center"/>
              <w:rPr>
                <w:b/>
                <w:bCs/>
              </w:rPr>
            </w:pPr>
          </w:p>
        </w:tc>
      </w:tr>
    </w:tbl>
    <w:p w14:paraId="2872C275" w14:textId="77777777" w:rsidR="00692645" w:rsidRDefault="00692645" w:rsidP="00692645">
      <w:pPr>
        <w:spacing w:after="0" w:line="240" w:lineRule="auto"/>
        <w:rPr>
          <w:b/>
          <w:bCs/>
          <w:color w:val="003967" w:themeColor="accent1" w:themeShade="80"/>
        </w:rPr>
      </w:pPr>
    </w:p>
    <w:p w14:paraId="2300904A" w14:textId="77777777" w:rsidR="006A15BE" w:rsidRDefault="006A15BE" w:rsidP="00692645">
      <w:pPr>
        <w:spacing w:after="0" w:line="240" w:lineRule="auto"/>
        <w:rPr>
          <w:b/>
          <w:bCs/>
          <w:color w:val="003967" w:themeColor="accent1" w:themeShade="80"/>
        </w:rPr>
      </w:pPr>
    </w:p>
    <w:p w14:paraId="559AD1A1" w14:textId="57CE5E32" w:rsidR="00692645" w:rsidRDefault="00692645" w:rsidP="00692645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Extent of Authority</w:t>
      </w:r>
    </w:p>
    <w:p w14:paraId="656B5F9A" w14:textId="77777777" w:rsidR="00692645" w:rsidRDefault="00692645" w:rsidP="00692645">
      <w:pPr>
        <w:spacing w:after="0" w:line="240" w:lineRule="auto"/>
        <w:rPr>
          <w:b/>
          <w:bCs/>
          <w:color w:val="003967" w:themeColor="accent1" w:themeShade="80"/>
        </w:rPr>
      </w:pPr>
    </w:p>
    <w:p w14:paraId="7F54DB10" w14:textId="77777777" w:rsidR="00692645" w:rsidRPr="006A15BE" w:rsidRDefault="00692645" w:rsidP="00692645">
      <w:pPr>
        <w:pStyle w:val="BodyText"/>
        <w:ind w:right="277"/>
        <w:jc w:val="both"/>
        <w:rPr>
          <w:sz w:val="22"/>
          <w:szCs w:val="22"/>
        </w:rPr>
      </w:pPr>
      <w:r w:rsidRPr="006A15BE">
        <w:rPr>
          <w:sz w:val="22"/>
          <w:szCs w:val="22"/>
        </w:rPr>
        <w:t>Under the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limited direction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of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the Chief</w:t>
      </w:r>
      <w:r w:rsidRPr="006A15BE">
        <w:rPr>
          <w:spacing w:val="-1"/>
          <w:sz w:val="22"/>
          <w:szCs w:val="22"/>
        </w:rPr>
        <w:t xml:space="preserve"> </w:t>
      </w:r>
      <w:r w:rsidRPr="006A15BE">
        <w:rPr>
          <w:sz w:val="22"/>
          <w:szCs w:val="22"/>
        </w:rPr>
        <w:t>Executive</w:t>
      </w:r>
      <w:r w:rsidRPr="006A15BE">
        <w:rPr>
          <w:spacing w:val="-1"/>
          <w:sz w:val="22"/>
          <w:szCs w:val="22"/>
        </w:rPr>
        <w:t xml:space="preserve"> </w:t>
      </w:r>
      <w:r w:rsidRPr="006A15BE">
        <w:rPr>
          <w:sz w:val="22"/>
          <w:szCs w:val="22"/>
        </w:rPr>
        <w:t>Officer and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as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delegated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from</w:t>
      </w:r>
      <w:r w:rsidRPr="006A15BE">
        <w:rPr>
          <w:spacing w:val="-4"/>
          <w:sz w:val="22"/>
          <w:szCs w:val="22"/>
        </w:rPr>
        <w:t xml:space="preserve"> </w:t>
      </w:r>
      <w:r w:rsidRPr="006A15BE">
        <w:rPr>
          <w:sz w:val="22"/>
          <w:szCs w:val="22"/>
        </w:rPr>
        <w:t>time-to-time,</w:t>
      </w:r>
      <w:r w:rsidRPr="006A15BE">
        <w:rPr>
          <w:spacing w:val="-1"/>
          <w:sz w:val="22"/>
          <w:szCs w:val="22"/>
        </w:rPr>
        <w:t xml:space="preserve"> </w:t>
      </w:r>
      <w:r w:rsidRPr="006A15BE">
        <w:rPr>
          <w:sz w:val="22"/>
          <w:szCs w:val="22"/>
        </w:rPr>
        <w:t>the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incumbent has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authority to act within predetermined guidelines, policies, procedures, predetermined budgetary limits and expenditure and in accordance with the statutory provisions of the Local Government Act 1995 and other relevant legislation.</w:t>
      </w:r>
    </w:p>
    <w:p w14:paraId="7564E7C0" w14:textId="77777777" w:rsidR="00692645" w:rsidRPr="006A15BE" w:rsidRDefault="00692645" w:rsidP="00692645">
      <w:pPr>
        <w:pStyle w:val="BodyText"/>
        <w:spacing w:before="1"/>
        <w:rPr>
          <w:sz w:val="22"/>
          <w:szCs w:val="22"/>
        </w:rPr>
      </w:pPr>
    </w:p>
    <w:p w14:paraId="3B1BA32B" w14:textId="77777777" w:rsidR="00692645" w:rsidRPr="006A15BE" w:rsidRDefault="00692645" w:rsidP="00692645">
      <w:pPr>
        <w:pStyle w:val="BodyText"/>
        <w:ind w:right="317"/>
        <w:rPr>
          <w:sz w:val="22"/>
          <w:szCs w:val="22"/>
        </w:rPr>
      </w:pPr>
      <w:r w:rsidRPr="006A15BE">
        <w:rPr>
          <w:sz w:val="22"/>
          <w:szCs w:val="22"/>
        </w:rPr>
        <w:t>Delegated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authority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in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accordance</w:t>
      </w:r>
      <w:r w:rsidRPr="006A15BE">
        <w:rPr>
          <w:spacing w:val="-4"/>
          <w:sz w:val="22"/>
          <w:szCs w:val="22"/>
        </w:rPr>
        <w:t xml:space="preserve"> </w:t>
      </w:r>
      <w:r w:rsidRPr="006A15BE">
        <w:rPr>
          <w:sz w:val="22"/>
          <w:szCs w:val="22"/>
        </w:rPr>
        <w:t>with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the</w:t>
      </w:r>
      <w:r w:rsidRPr="006A15BE">
        <w:rPr>
          <w:spacing w:val="-1"/>
          <w:sz w:val="22"/>
          <w:szCs w:val="22"/>
        </w:rPr>
        <w:t xml:space="preserve"> </w:t>
      </w:r>
      <w:r w:rsidRPr="006A15BE">
        <w:rPr>
          <w:sz w:val="22"/>
          <w:szCs w:val="22"/>
        </w:rPr>
        <w:t>following: sign</w:t>
      </w:r>
      <w:r w:rsidRPr="006A15BE">
        <w:rPr>
          <w:spacing w:val="-3"/>
          <w:sz w:val="22"/>
          <w:szCs w:val="22"/>
        </w:rPr>
        <w:t xml:space="preserve"> </w:t>
      </w:r>
      <w:r w:rsidRPr="006A15BE">
        <w:rPr>
          <w:sz w:val="22"/>
          <w:szCs w:val="22"/>
        </w:rPr>
        <w:t>purchase</w:t>
      </w:r>
      <w:r w:rsidRPr="006A15BE">
        <w:rPr>
          <w:spacing w:val="-4"/>
          <w:sz w:val="22"/>
          <w:szCs w:val="22"/>
        </w:rPr>
        <w:t xml:space="preserve"> </w:t>
      </w:r>
      <w:r w:rsidRPr="006A15BE">
        <w:rPr>
          <w:sz w:val="22"/>
          <w:szCs w:val="22"/>
        </w:rPr>
        <w:t>orders</w:t>
      </w:r>
      <w:r w:rsidRPr="006A15BE">
        <w:rPr>
          <w:spacing w:val="-4"/>
          <w:sz w:val="22"/>
          <w:szCs w:val="22"/>
        </w:rPr>
        <w:t xml:space="preserve"> </w:t>
      </w:r>
      <w:r w:rsidRPr="006A15BE">
        <w:rPr>
          <w:sz w:val="22"/>
          <w:szCs w:val="22"/>
        </w:rPr>
        <w:t>or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other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documents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as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per</w:t>
      </w:r>
      <w:r w:rsidRPr="006A15BE">
        <w:rPr>
          <w:spacing w:val="-2"/>
          <w:sz w:val="22"/>
          <w:szCs w:val="22"/>
        </w:rPr>
        <w:t xml:space="preserve"> </w:t>
      </w:r>
      <w:r w:rsidRPr="006A15BE">
        <w:rPr>
          <w:sz w:val="22"/>
          <w:szCs w:val="22"/>
        </w:rPr>
        <w:t>the</w:t>
      </w:r>
      <w:r w:rsidRPr="006A15BE">
        <w:rPr>
          <w:spacing w:val="-5"/>
          <w:sz w:val="22"/>
          <w:szCs w:val="22"/>
        </w:rPr>
        <w:t xml:space="preserve"> </w:t>
      </w:r>
      <w:r w:rsidRPr="006A15BE">
        <w:rPr>
          <w:sz w:val="22"/>
          <w:szCs w:val="22"/>
        </w:rPr>
        <w:t>"Authorisation to Sign Documents Register"</w:t>
      </w:r>
    </w:p>
    <w:p w14:paraId="023B32DB" w14:textId="77777777" w:rsidR="00692645" w:rsidRDefault="00692645" w:rsidP="00692645">
      <w:pPr>
        <w:spacing w:after="0" w:line="240" w:lineRule="auto"/>
        <w:rPr>
          <w:b/>
          <w:bCs/>
          <w:color w:val="003967" w:themeColor="accent1" w:themeShade="80"/>
        </w:rPr>
      </w:pPr>
    </w:p>
    <w:p w14:paraId="0C59840E" w14:textId="77777777" w:rsidR="00930509" w:rsidRDefault="00930509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0225F3B1" w14:textId="77777777" w:rsidR="00C24DC7" w:rsidRDefault="00C24DC7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1508D2FD" w14:textId="3A524B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348FFE08" w14:textId="6CE1C50E" w:rsidR="00930509" w:rsidRDefault="004D0EBE" w:rsidP="00A97E01">
      <w:pPr>
        <w:pStyle w:val="TableParagraph"/>
        <w:numPr>
          <w:ilvl w:val="0"/>
          <w:numId w:val="18"/>
        </w:numPr>
        <w:spacing w:line="268" w:lineRule="exact"/>
        <w:rPr>
          <w:spacing w:val="-2"/>
        </w:rPr>
      </w:pPr>
      <w:r>
        <w:t>Proven</w:t>
      </w:r>
      <w:r>
        <w:rPr>
          <w:spacing w:val="-6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rPr>
          <w:spacing w:val="-5"/>
        </w:rPr>
        <w:t xml:space="preserve">an </w:t>
      </w:r>
      <w:r>
        <w:t>appropriate</w:t>
      </w:r>
      <w:r>
        <w:rPr>
          <w:spacing w:val="-4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tertiary</w:t>
      </w:r>
      <w:r>
        <w:rPr>
          <w:spacing w:val="-3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Accounting.</w:t>
      </w:r>
    </w:p>
    <w:p w14:paraId="30504013" w14:textId="11B6DC44" w:rsidR="004D0EBE" w:rsidRDefault="004D0EBE" w:rsidP="00A97E01">
      <w:pPr>
        <w:pStyle w:val="TableParagraph"/>
        <w:numPr>
          <w:ilvl w:val="0"/>
          <w:numId w:val="18"/>
        </w:numPr>
        <w:spacing w:line="268" w:lineRule="exact"/>
        <w:rPr>
          <w:spacing w:val="-2"/>
        </w:rPr>
      </w:pP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rPr>
          <w:spacing w:val="-2"/>
        </w:rPr>
        <w:t>services.</w:t>
      </w:r>
    </w:p>
    <w:p w14:paraId="49544D68" w14:textId="77777777" w:rsidR="004D0EBE" w:rsidRDefault="004D0EBE" w:rsidP="00A97E01">
      <w:pPr>
        <w:pStyle w:val="TableParagraph"/>
        <w:numPr>
          <w:ilvl w:val="0"/>
          <w:numId w:val="18"/>
        </w:numPr>
        <w:spacing w:line="248" w:lineRule="exact"/>
        <w:rPr>
          <w:spacing w:val="-2"/>
        </w:rPr>
      </w:pPr>
      <w:r>
        <w:t>Advanced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068214AA" w14:textId="475F6B64" w:rsidR="004D0EBE" w:rsidRDefault="004D0EBE" w:rsidP="00A97E01">
      <w:pPr>
        <w:pStyle w:val="TableParagraph"/>
        <w:numPr>
          <w:ilvl w:val="0"/>
          <w:numId w:val="18"/>
        </w:numPr>
        <w:spacing w:line="248" w:lineRule="exact"/>
        <w:rPr>
          <w:spacing w:val="-2"/>
        </w:rPr>
      </w:pPr>
      <w:r>
        <w:lastRenderedPageBreak/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indirect</w:t>
      </w:r>
      <w:r>
        <w:rPr>
          <w:spacing w:val="-4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services.</w:t>
      </w:r>
    </w:p>
    <w:p w14:paraId="06FE36F9" w14:textId="618FAEBE" w:rsidR="004D0EBE" w:rsidRDefault="004D0EBE" w:rsidP="00A97E01">
      <w:pPr>
        <w:pStyle w:val="TableParagraph"/>
        <w:numPr>
          <w:ilvl w:val="0"/>
          <w:numId w:val="18"/>
        </w:numPr>
        <w:spacing w:line="248" w:lineRule="exact"/>
        <w:rPr>
          <w:spacing w:val="-2"/>
        </w:rPr>
      </w:pPr>
      <w:r>
        <w:t>Proven</w:t>
      </w:r>
      <w:r>
        <w:rPr>
          <w:spacing w:val="-8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rPr>
          <w:spacing w:val="-2"/>
        </w:rPr>
        <w:t>improvement.</w:t>
      </w:r>
    </w:p>
    <w:p w14:paraId="5707801A" w14:textId="77777777" w:rsidR="00E96F12" w:rsidRDefault="00E96F12" w:rsidP="00A97E01">
      <w:pPr>
        <w:pStyle w:val="TableParagraph"/>
        <w:numPr>
          <w:ilvl w:val="0"/>
          <w:numId w:val="18"/>
        </w:numPr>
        <w:spacing w:line="248" w:lineRule="exact"/>
        <w:rPr>
          <w:spacing w:val="-2"/>
        </w:rPr>
      </w:pP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proven</w:t>
      </w:r>
      <w:r>
        <w:rPr>
          <w:spacing w:val="-7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rPr>
          <w:spacing w:val="-2"/>
        </w:rPr>
        <w:t>supervision.</w:t>
      </w:r>
    </w:p>
    <w:p w14:paraId="72A4B7E0" w14:textId="7C303560" w:rsidR="00A174B3" w:rsidRPr="00A174B3" w:rsidRDefault="00E96F12" w:rsidP="00A174B3">
      <w:pPr>
        <w:pStyle w:val="TableParagraph"/>
        <w:numPr>
          <w:ilvl w:val="0"/>
          <w:numId w:val="18"/>
        </w:numPr>
        <w:spacing w:line="248" w:lineRule="exact"/>
        <w:rPr>
          <w:spacing w:val="-2"/>
        </w:rPr>
      </w:pPr>
      <w:r>
        <w:t>Proven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rPr>
          <w:spacing w:val="-2"/>
        </w:rPr>
        <w:t>output.</w:t>
      </w:r>
      <w:r w:rsidR="00A174B3">
        <w:rPr>
          <w:spacing w:val="-2"/>
        </w:rPr>
        <w:br/>
      </w:r>
    </w:p>
    <w:p w14:paraId="19CDBB16" w14:textId="1A573A91" w:rsidR="00E96F12" w:rsidRPr="009B4D39" w:rsidRDefault="00E96F12" w:rsidP="00A97E01">
      <w:pPr>
        <w:pStyle w:val="TableParagraph"/>
        <w:numPr>
          <w:ilvl w:val="0"/>
          <w:numId w:val="18"/>
        </w:numPr>
        <w:spacing w:before="1" w:line="268" w:lineRule="exact"/>
      </w:pPr>
      <w:r>
        <w:t>Demonstrated</w:t>
      </w:r>
      <w:r>
        <w:rPr>
          <w:spacing w:val="-9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Shire</w:t>
      </w:r>
      <w:r>
        <w:rPr>
          <w:spacing w:val="-3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 xml:space="preserve">public </w:t>
      </w:r>
      <w:r>
        <w:t>sector</w:t>
      </w:r>
      <w:r>
        <w:rPr>
          <w:spacing w:val="-4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rPr>
          <w:spacing w:val="-2"/>
        </w:rPr>
        <w:t>organisations.</w:t>
      </w:r>
    </w:p>
    <w:p w14:paraId="08469FDB" w14:textId="3C07A359" w:rsidR="009B4D39" w:rsidRPr="0065374D" w:rsidRDefault="009B4D39" w:rsidP="009B4D39">
      <w:pPr>
        <w:pStyle w:val="TableParagraph"/>
        <w:numPr>
          <w:ilvl w:val="0"/>
          <w:numId w:val="18"/>
        </w:numPr>
        <w:spacing w:before="42"/>
      </w:pPr>
      <w:r w:rsidRPr="0065374D">
        <w:t>Excellent interpersonal skills and ability to contribute and interrelate effectively within a team.</w:t>
      </w:r>
    </w:p>
    <w:p w14:paraId="7D1B5F58" w14:textId="7D868921" w:rsidR="009B4D39" w:rsidRPr="009B4D39" w:rsidRDefault="009B4D39" w:rsidP="009B4D39">
      <w:pPr>
        <w:pStyle w:val="TableParagraph"/>
        <w:numPr>
          <w:ilvl w:val="0"/>
          <w:numId w:val="18"/>
        </w:numPr>
        <w:spacing w:before="42"/>
      </w:pPr>
      <w:r w:rsidRPr="001C0E25">
        <w:t>Proven ability to maintain a high level of confidentiality</w:t>
      </w:r>
      <w:r>
        <w:t>.</w:t>
      </w:r>
    </w:p>
    <w:p w14:paraId="4113D5A6" w14:textId="77777777" w:rsidR="00E96F12" w:rsidRDefault="00E96F12" w:rsidP="004D0EBE">
      <w:pPr>
        <w:pStyle w:val="TableParagraph"/>
        <w:spacing w:line="248" w:lineRule="exact"/>
        <w:ind w:left="0"/>
      </w:pP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4DB8E7D6" w14:textId="77777777" w:rsidR="00A97E01" w:rsidRPr="00824F96" w:rsidRDefault="00A97E01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1FD5BC2C" w14:textId="0FE24F73" w:rsidR="009B4D39" w:rsidRDefault="00A97E01" w:rsidP="009B4D39">
      <w:pPr>
        <w:pStyle w:val="ListParagraph"/>
        <w:numPr>
          <w:ilvl w:val="0"/>
          <w:numId w:val="19"/>
        </w:numPr>
        <w:spacing w:line="240" w:lineRule="auto"/>
        <w:rPr>
          <w:spacing w:val="-2"/>
        </w:rPr>
      </w:pPr>
      <w:r>
        <w:t>Working</w:t>
      </w:r>
      <w:r w:rsidRPr="00DE1D2E">
        <w:rPr>
          <w:spacing w:val="-6"/>
        </w:rPr>
        <w:t xml:space="preserve"> </w:t>
      </w:r>
      <w:r>
        <w:t>knowledge</w:t>
      </w:r>
      <w:r w:rsidRPr="00DE1D2E">
        <w:rPr>
          <w:spacing w:val="-4"/>
        </w:rPr>
        <w:t xml:space="preserve"> </w:t>
      </w:r>
      <w:r>
        <w:t>of</w:t>
      </w:r>
      <w:r w:rsidRPr="00DE1D2E">
        <w:rPr>
          <w:spacing w:val="-4"/>
        </w:rPr>
        <w:t xml:space="preserve"> </w:t>
      </w:r>
      <w:r>
        <w:t>the</w:t>
      </w:r>
      <w:r w:rsidRPr="00DE1D2E">
        <w:rPr>
          <w:spacing w:val="-4"/>
        </w:rPr>
        <w:t xml:space="preserve"> </w:t>
      </w:r>
      <w:r>
        <w:t>Local</w:t>
      </w:r>
      <w:r w:rsidRPr="00DE1D2E">
        <w:rPr>
          <w:spacing w:val="-5"/>
        </w:rPr>
        <w:t xml:space="preserve"> </w:t>
      </w:r>
      <w:r>
        <w:t>Government</w:t>
      </w:r>
      <w:r w:rsidRPr="00DE1D2E">
        <w:rPr>
          <w:spacing w:val="-2"/>
        </w:rPr>
        <w:t xml:space="preserve"> </w:t>
      </w:r>
      <w:r>
        <w:t>Act</w:t>
      </w:r>
      <w:r w:rsidRPr="00DE1D2E">
        <w:rPr>
          <w:spacing w:val="-5"/>
        </w:rPr>
        <w:t xml:space="preserve"> </w:t>
      </w:r>
      <w:r>
        <w:t>1995</w:t>
      </w:r>
      <w:r w:rsidRPr="00DE1D2E">
        <w:rPr>
          <w:spacing w:val="-2"/>
        </w:rPr>
        <w:t xml:space="preserve"> </w:t>
      </w:r>
      <w:r>
        <w:t>and</w:t>
      </w:r>
      <w:r w:rsidRPr="00DE1D2E">
        <w:rPr>
          <w:spacing w:val="-5"/>
        </w:rPr>
        <w:t xml:space="preserve"> </w:t>
      </w:r>
      <w:r>
        <w:t>other</w:t>
      </w:r>
      <w:r w:rsidRPr="00DE1D2E">
        <w:rPr>
          <w:spacing w:val="-2"/>
        </w:rPr>
        <w:t xml:space="preserve"> </w:t>
      </w:r>
      <w:r>
        <w:t>relevant</w:t>
      </w:r>
      <w:r w:rsidRPr="00DE1D2E">
        <w:rPr>
          <w:spacing w:val="-2"/>
        </w:rPr>
        <w:t xml:space="preserve"> </w:t>
      </w:r>
      <w:r>
        <w:t>legislative</w:t>
      </w:r>
      <w:r w:rsidRPr="00DE1D2E">
        <w:rPr>
          <w:spacing w:val="-4"/>
        </w:rPr>
        <w:t xml:space="preserve"> </w:t>
      </w:r>
      <w:r w:rsidRPr="00DE1D2E">
        <w:rPr>
          <w:spacing w:val="-2"/>
        </w:rPr>
        <w:t>requirements</w:t>
      </w:r>
    </w:p>
    <w:p w14:paraId="73573F39" w14:textId="77777777" w:rsidR="009B4D39" w:rsidRPr="0065374D" w:rsidRDefault="009B4D39" w:rsidP="009B4D39">
      <w:pPr>
        <w:pStyle w:val="TableParagraph"/>
        <w:numPr>
          <w:ilvl w:val="0"/>
          <w:numId w:val="19"/>
        </w:numPr>
        <w:spacing w:before="42"/>
      </w:pPr>
      <w:r w:rsidRPr="0065374D">
        <w:t>Demonstrated experience in undertaking revenue or rating services in accordance with legislative requirements or equivalent Diploma qualification in Finance.</w:t>
      </w:r>
    </w:p>
    <w:p w14:paraId="66AF6F8C" w14:textId="52BE8F3C" w:rsidR="009B4D39" w:rsidRPr="0065374D" w:rsidRDefault="009B4D39" w:rsidP="009B4D39">
      <w:pPr>
        <w:pStyle w:val="TableParagraph"/>
        <w:numPr>
          <w:ilvl w:val="0"/>
          <w:numId w:val="19"/>
        </w:numPr>
        <w:spacing w:before="42"/>
      </w:pPr>
      <w:r w:rsidRPr="0065374D">
        <w:t>Working knowledge of the Rates and Charges (Rebates and Deferments) Act 1992</w:t>
      </w:r>
    </w:p>
    <w:p w14:paraId="282AF121" w14:textId="77777777" w:rsidR="00A97E01" w:rsidRPr="00DE1D2E" w:rsidRDefault="00A97E01" w:rsidP="00DE1D2E">
      <w:pPr>
        <w:pStyle w:val="ListParagraph"/>
        <w:numPr>
          <w:ilvl w:val="0"/>
          <w:numId w:val="19"/>
        </w:numPr>
        <w:spacing w:line="240" w:lineRule="auto"/>
        <w:rPr>
          <w:spacing w:val="-2"/>
        </w:rPr>
      </w:pPr>
      <w:r>
        <w:t>Working</w:t>
      </w:r>
      <w:r w:rsidRPr="00DE1D2E">
        <w:rPr>
          <w:spacing w:val="-6"/>
        </w:rPr>
        <w:t xml:space="preserve"> </w:t>
      </w:r>
      <w:r>
        <w:t>knowledge</w:t>
      </w:r>
      <w:r w:rsidRPr="00DE1D2E">
        <w:rPr>
          <w:spacing w:val="-5"/>
        </w:rPr>
        <w:t xml:space="preserve"> </w:t>
      </w:r>
      <w:r>
        <w:t>of</w:t>
      </w:r>
      <w:r w:rsidRPr="00DE1D2E">
        <w:rPr>
          <w:spacing w:val="-3"/>
        </w:rPr>
        <w:t xml:space="preserve"> </w:t>
      </w:r>
      <w:r>
        <w:t>government</w:t>
      </w:r>
      <w:r w:rsidRPr="00DE1D2E">
        <w:rPr>
          <w:spacing w:val="-2"/>
        </w:rPr>
        <w:t xml:space="preserve"> functions.</w:t>
      </w:r>
    </w:p>
    <w:p w14:paraId="4870E3F8" w14:textId="77777777" w:rsidR="00A97E01" w:rsidRPr="00DE1D2E" w:rsidRDefault="00A97E01" w:rsidP="00DE1D2E">
      <w:pPr>
        <w:pStyle w:val="ListParagraph"/>
        <w:numPr>
          <w:ilvl w:val="0"/>
          <w:numId w:val="19"/>
        </w:numPr>
        <w:spacing w:line="240" w:lineRule="auto"/>
        <w:rPr>
          <w:spacing w:val="-2"/>
        </w:rPr>
      </w:pPr>
      <w:r>
        <w:t>Experience</w:t>
      </w:r>
      <w:r w:rsidRPr="00DE1D2E">
        <w:rPr>
          <w:spacing w:val="-7"/>
        </w:rPr>
        <w:t xml:space="preserve"> </w:t>
      </w:r>
      <w:r>
        <w:t>with</w:t>
      </w:r>
      <w:r w:rsidRPr="00DE1D2E">
        <w:rPr>
          <w:spacing w:val="-7"/>
        </w:rPr>
        <w:t xml:space="preserve"> </w:t>
      </w:r>
      <w:r>
        <w:t>Synergy</w:t>
      </w:r>
      <w:r w:rsidRPr="00DE1D2E">
        <w:rPr>
          <w:spacing w:val="-7"/>
        </w:rPr>
        <w:t xml:space="preserve"> </w:t>
      </w:r>
      <w:r>
        <w:t>Soft</w:t>
      </w:r>
      <w:r w:rsidRPr="00DE1D2E">
        <w:rPr>
          <w:spacing w:val="-7"/>
        </w:rPr>
        <w:t xml:space="preserve"> </w:t>
      </w:r>
      <w:r w:rsidRPr="00DE1D2E">
        <w:rPr>
          <w:spacing w:val="-2"/>
        </w:rPr>
        <w:t>applications.</w:t>
      </w:r>
    </w:p>
    <w:p w14:paraId="7903E259" w14:textId="77777777" w:rsidR="00A97E01" w:rsidRPr="00DE1D2E" w:rsidRDefault="00A97E01" w:rsidP="00DE1D2E">
      <w:pPr>
        <w:pStyle w:val="ListParagraph"/>
        <w:numPr>
          <w:ilvl w:val="0"/>
          <w:numId w:val="19"/>
        </w:numPr>
        <w:spacing w:line="240" w:lineRule="auto"/>
        <w:rPr>
          <w:spacing w:val="-4"/>
        </w:rPr>
      </w:pPr>
      <w:r>
        <w:t>Sound</w:t>
      </w:r>
      <w:r w:rsidRPr="00DE1D2E">
        <w:rPr>
          <w:spacing w:val="-5"/>
        </w:rPr>
        <w:t xml:space="preserve"> </w:t>
      </w:r>
      <w:r>
        <w:t>understanding</w:t>
      </w:r>
      <w:r w:rsidRPr="00DE1D2E">
        <w:rPr>
          <w:spacing w:val="-4"/>
        </w:rPr>
        <w:t xml:space="preserve"> </w:t>
      </w:r>
      <w:r>
        <w:t>of</w:t>
      </w:r>
      <w:r w:rsidRPr="00DE1D2E">
        <w:rPr>
          <w:spacing w:val="-3"/>
        </w:rPr>
        <w:t xml:space="preserve"> </w:t>
      </w:r>
      <w:r>
        <w:t>Goods</w:t>
      </w:r>
      <w:r w:rsidRPr="00DE1D2E">
        <w:rPr>
          <w:spacing w:val="-3"/>
        </w:rPr>
        <w:t xml:space="preserve"> </w:t>
      </w:r>
      <w:r>
        <w:t>and</w:t>
      </w:r>
      <w:r w:rsidRPr="00DE1D2E">
        <w:rPr>
          <w:spacing w:val="-4"/>
        </w:rPr>
        <w:t xml:space="preserve"> </w:t>
      </w:r>
      <w:r>
        <w:t>Services</w:t>
      </w:r>
      <w:r w:rsidRPr="00DE1D2E">
        <w:rPr>
          <w:spacing w:val="-3"/>
        </w:rPr>
        <w:t xml:space="preserve"> </w:t>
      </w:r>
      <w:r>
        <w:t>Tax</w:t>
      </w:r>
      <w:r w:rsidRPr="00DE1D2E">
        <w:rPr>
          <w:spacing w:val="-3"/>
        </w:rPr>
        <w:t xml:space="preserve"> </w:t>
      </w:r>
      <w:r>
        <w:t>and</w:t>
      </w:r>
      <w:r w:rsidRPr="00DE1D2E">
        <w:rPr>
          <w:spacing w:val="-4"/>
        </w:rPr>
        <w:t xml:space="preserve"> </w:t>
      </w:r>
      <w:r>
        <w:t>Fringe</w:t>
      </w:r>
      <w:r w:rsidRPr="00DE1D2E">
        <w:rPr>
          <w:spacing w:val="-3"/>
        </w:rPr>
        <w:t xml:space="preserve"> </w:t>
      </w:r>
      <w:r>
        <w:t>Benefits</w:t>
      </w:r>
      <w:r w:rsidRPr="00DE1D2E">
        <w:rPr>
          <w:spacing w:val="-5"/>
        </w:rPr>
        <w:t xml:space="preserve"> </w:t>
      </w:r>
      <w:r w:rsidRPr="00DE1D2E">
        <w:rPr>
          <w:spacing w:val="-4"/>
        </w:rPr>
        <w:t>Tax.</w:t>
      </w:r>
    </w:p>
    <w:p w14:paraId="27E2C6B7" w14:textId="015D8E38" w:rsidR="00930509" w:rsidRDefault="00A97E01" w:rsidP="00DE1D2E">
      <w:pPr>
        <w:pStyle w:val="ListParagraph"/>
        <w:numPr>
          <w:ilvl w:val="0"/>
          <w:numId w:val="19"/>
        </w:numPr>
        <w:spacing w:line="240" w:lineRule="auto"/>
      </w:pPr>
      <w:r>
        <w:t>Tertiary</w:t>
      </w:r>
      <w:r w:rsidRPr="00DE1D2E">
        <w:rPr>
          <w:spacing w:val="-3"/>
        </w:rPr>
        <w:t xml:space="preserve"> </w:t>
      </w:r>
      <w:r>
        <w:t>level</w:t>
      </w:r>
      <w:r w:rsidRPr="00DE1D2E">
        <w:rPr>
          <w:spacing w:val="-3"/>
        </w:rPr>
        <w:t xml:space="preserve"> </w:t>
      </w:r>
      <w:r>
        <w:t>qualification</w:t>
      </w:r>
      <w:r w:rsidRPr="00DE1D2E">
        <w:rPr>
          <w:spacing w:val="-4"/>
        </w:rPr>
        <w:t xml:space="preserve"> </w:t>
      </w:r>
      <w:r>
        <w:t>in</w:t>
      </w:r>
      <w:r w:rsidRPr="00DE1D2E">
        <w:rPr>
          <w:spacing w:val="-4"/>
        </w:rPr>
        <w:t xml:space="preserve"> </w:t>
      </w:r>
      <w:r>
        <w:t>Accounting</w:t>
      </w:r>
      <w:r w:rsidRPr="00DE1D2E">
        <w:rPr>
          <w:spacing w:val="-6"/>
        </w:rPr>
        <w:t xml:space="preserve"> </w:t>
      </w:r>
      <w:r>
        <w:t>or</w:t>
      </w:r>
      <w:r w:rsidRPr="00DE1D2E">
        <w:rPr>
          <w:spacing w:val="-3"/>
        </w:rPr>
        <w:t xml:space="preserve"> </w:t>
      </w:r>
      <w:r>
        <w:t>a</w:t>
      </w:r>
      <w:r w:rsidRPr="00DE1D2E">
        <w:rPr>
          <w:spacing w:val="-3"/>
        </w:rPr>
        <w:t xml:space="preserve"> </w:t>
      </w:r>
      <w:r>
        <w:t>related</w:t>
      </w:r>
      <w:r w:rsidRPr="00DE1D2E">
        <w:rPr>
          <w:spacing w:val="-2"/>
        </w:rPr>
        <w:t xml:space="preserve"> discipline</w:t>
      </w:r>
      <w:r w:rsidR="000C43AA">
        <w:rPr>
          <w:spacing w:val="-2"/>
        </w:rPr>
        <w:t>.</w:t>
      </w:r>
      <w:r w:rsidR="00930509">
        <w:br/>
      </w:r>
    </w:p>
    <w:p w14:paraId="2042B0F7" w14:textId="398BA7E2" w:rsidR="00930509" w:rsidRDefault="00930509" w:rsidP="00930509">
      <w:pPr>
        <w:pStyle w:val="ListParagraph"/>
        <w:spacing w:line="240" w:lineRule="auto"/>
        <w:ind w:left="720" w:firstLine="0"/>
      </w:pPr>
    </w:p>
    <w:p w14:paraId="3DB44CC3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50"/>
        <w:gridCol w:w="4630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7E58BCEE" w14:textId="77777777" w:rsidR="00C24DC7" w:rsidRPr="006A15BE" w:rsidRDefault="00C24DC7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6A15BE">
              <w:t>Executive Team</w:t>
            </w:r>
          </w:p>
          <w:p w14:paraId="2D54E0A3" w14:textId="77777777" w:rsidR="00C24DC7" w:rsidRPr="006A15BE" w:rsidRDefault="00C24DC7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6A15BE">
              <w:t>Directors</w:t>
            </w:r>
          </w:p>
          <w:p w14:paraId="2C3A9B11" w14:textId="77777777" w:rsidR="00C24DC7" w:rsidRPr="006A15BE" w:rsidRDefault="00C24DC7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6A15BE">
              <w:t>Managers</w:t>
            </w:r>
          </w:p>
          <w:p w14:paraId="5F5BAA73" w14:textId="77777777" w:rsidR="00C24DC7" w:rsidRPr="006A15BE" w:rsidRDefault="00C24DC7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6A15BE">
              <w:t xml:space="preserve">Staff </w:t>
            </w:r>
          </w:p>
          <w:p w14:paraId="5AA6DE5C" w14:textId="77777777" w:rsidR="00C24DC7" w:rsidRDefault="00C24DC7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6A15BE">
              <w:t>Elected Council Members</w:t>
            </w:r>
          </w:p>
          <w:p w14:paraId="70E195EA" w14:textId="0174F146" w:rsidR="00930509" w:rsidRDefault="00930509" w:rsidP="00087A03"/>
        </w:tc>
        <w:tc>
          <w:tcPr>
            <w:tcW w:w="5250" w:type="dxa"/>
          </w:tcPr>
          <w:p w14:paraId="6F811FDB" w14:textId="77777777" w:rsidR="00C24DC7" w:rsidRDefault="00C24DC7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Community</w:t>
            </w:r>
            <w:r w:rsidRPr="00C24DC7">
              <w:rPr>
                <w:spacing w:val="-5"/>
              </w:rPr>
              <w:t xml:space="preserve"> </w:t>
            </w:r>
            <w:r>
              <w:t>groups</w:t>
            </w:r>
            <w:r w:rsidRPr="00C24DC7">
              <w:rPr>
                <w:spacing w:val="-5"/>
              </w:rPr>
              <w:t xml:space="preserve"> </w:t>
            </w:r>
            <w:r>
              <w:t>and</w:t>
            </w:r>
            <w:r w:rsidRPr="00C24DC7">
              <w:rPr>
                <w:spacing w:val="-5"/>
              </w:rPr>
              <w:t xml:space="preserve"> </w:t>
            </w:r>
            <w:r>
              <w:t>suppliers</w:t>
            </w:r>
            <w:r w:rsidRPr="00C24DC7">
              <w:rPr>
                <w:spacing w:val="-5"/>
              </w:rPr>
              <w:t xml:space="preserve"> </w:t>
            </w:r>
            <w:r>
              <w:t>and</w:t>
            </w:r>
            <w:r w:rsidRPr="00C24DC7">
              <w:rPr>
                <w:spacing w:val="-5"/>
              </w:rPr>
              <w:t xml:space="preserve"> </w:t>
            </w:r>
            <w:r>
              <w:t>customers</w:t>
            </w:r>
            <w:r w:rsidRPr="00C24DC7">
              <w:rPr>
                <w:spacing w:val="-6"/>
              </w:rPr>
              <w:t xml:space="preserve"> </w:t>
            </w:r>
            <w:r>
              <w:t>of</w:t>
            </w:r>
            <w:r w:rsidRPr="00C24DC7">
              <w:rPr>
                <w:spacing w:val="-5"/>
              </w:rPr>
              <w:t xml:space="preserve"> </w:t>
            </w:r>
            <w:r>
              <w:t>Council</w:t>
            </w:r>
            <w:r w:rsidRPr="00C24DC7">
              <w:rPr>
                <w:spacing w:val="-5"/>
              </w:rPr>
              <w:t xml:space="preserve"> </w:t>
            </w:r>
            <w:r>
              <w:t>services,</w:t>
            </w:r>
          </w:p>
          <w:p w14:paraId="47B00494" w14:textId="77777777" w:rsidR="00C24DC7" w:rsidRPr="006A15BE" w:rsidRDefault="00C24DC7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Statutory bodies, funding bodies and Government Agencies; and</w:t>
            </w:r>
          </w:p>
          <w:p w14:paraId="46AC6A85" w14:textId="77777777" w:rsidR="00C24DC7" w:rsidRDefault="00C24DC7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Consultants, contractors and other professionals.</w:t>
            </w:r>
          </w:p>
          <w:p w14:paraId="00717333" w14:textId="0FE7B7E4" w:rsidR="00F447A4" w:rsidRPr="00F447A4" w:rsidRDefault="00F447A4" w:rsidP="00C24DC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i/>
                <w:iCs/>
                <w:color w:val="FF0000"/>
              </w:rPr>
            </w:pPr>
            <w:r w:rsidRPr="00F447A4">
              <w:rPr>
                <w:i/>
                <w:iCs/>
                <w:color w:val="FF0000"/>
              </w:rPr>
              <w:t>Ratepayers and residents</w:t>
            </w:r>
          </w:p>
          <w:p w14:paraId="07F0F218" w14:textId="2A969FE7" w:rsidR="00930509" w:rsidRDefault="00930509" w:rsidP="00087A03"/>
        </w:tc>
      </w:tr>
    </w:tbl>
    <w:p w14:paraId="0AE8CDC4" w14:textId="77777777" w:rsidR="00930509" w:rsidRDefault="00930509" w:rsidP="00930509"/>
    <w:p w14:paraId="26F7E094" w14:textId="77777777" w:rsidR="000C43AA" w:rsidRDefault="000C43AA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0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6548BD79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12230A24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5"/>
        <w:gridCol w:w="2238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sectPr w:rsidR="00D6581A" w:rsidSect="006B290A">
      <w:headerReference w:type="default" r:id="rId11"/>
      <w:pgSz w:w="11906" w:h="16838"/>
      <w:pgMar w:top="2438" w:right="1276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62908" w14:textId="77777777" w:rsidR="00333A32" w:rsidRDefault="00333A32" w:rsidP="00A73EAD">
      <w:pPr>
        <w:spacing w:after="0" w:line="240" w:lineRule="auto"/>
      </w:pPr>
      <w:r>
        <w:separator/>
      </w:r>
    </w:p>
  </w:endnote>
  <w:endnote w:type="continuationSeparator" w:id="0">
    <w:p w14:paraId="59C030C1" w14:textId="77777777" w:rsidR="00333A32" w:rsidRDefault="00333A32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D4A0" w14:textId="77777777" w:rsidR="00333A32" w:rsidRDefault="00333A32" w:rsidP="00A73EAD">
      <w:pPr>
        <w:spacing w:after="0" w:line="240" w:lineRule="auto"/>
      </w:pPr>
      <w:r>
        <w:separator/>
      </w:r>
    </w:p>
  </w:footnote>
  <w:footnote w:type="continuationSeparator" w:id="0">
    <w:p w14:paraId="3D869D85" w14:textId="77777777" w:rsidR="00333A32" w:rsidRDefault="00333A32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6021A"/>
    <w:multiLevelType w:val="hybridMultilevel"/>
    <w:tmpl w:val="9A2067DA"/>
    <w:lvl w:ilvl="0" w:tplc="184ECD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C0367A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49604E2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6658AB00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4" w:tplc="8EAA99D8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5" w:tplc="99F6D92C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6" w:tplc="EDC43A8A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7" w:tplc="46522342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8" w:tplc="E30CF11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8A4289"/>
    <w:multiLevelType w:val="multilevel"/>
    <w:tmpl w:val="6936BC58"/>
    <w:lvl w:ilvl="0">
      <w:start w:val="1"/>
      <w:numFmt w:val="decimal"/>
      <w:lvlText w:val="%1."/>
      <w:lvlJc w:val="left"/>
      <w:pPr>
        <w:ind w:left="826" w:hanging="720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B97D3C"/>
    <w:multiLevelType w:val="hybridMultilevel"/>
    <w:tmpl w:val="64407C4C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3605D"/>
    <w:multiLevelType w:val="hybridMultilevel"/>
    <w:tmpl w:val="7932E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11802"/>
    <w:multiLevelType w:val="hybridMultilevel"/>
    <w:tmpl w:val="6DD2A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051B0"/>
    <w:multiLevelType w:val="hybridMultilevel"/>
    <w:tmpl w:val="407E72FC"/>
    <w:lvl w:ilvl="0" w:tplc="A45A7C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32AA8A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F8D489E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3" w:tplc="E34A3104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E82A19AC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5" w:tplc="416AFCF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6" w:tplc="69043BE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7" w:tplc="FF3C35AC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8" w:tplc="86C8497E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783309"/>
    <w:multiLevelType w:val="hybridMultilevel"/>
    <w:tmpl w:val="5F047692"/>
    <w:lvl w:ilvl="0" w:tplc="2F1462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767CEA">
      <w:numFmt w:val="bullet"/>
      <w:lvlText w:val="o"/>
      <w:lvlJc w:val="left"/>
      <w:pPr>
        <w:ind w:left="7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BC0FC20">
      <w:numFmt w:val="bullet"/>
      <w:lvlText w:val="•"/>
      <w:lvlJc w:val="left"/>
      <w:pPr>
        <w:ind w:left="1507" w:hanging="361"/>
      </w:pPr>
      <w:rPr>
        <w:rFonts w:hint="default"/>
        <w:lang w:val="en-US" w:eastAsia="en-US" w:bidi="ar-SA"/>
      </w:rPr>
    </w:lvl>
    <w:lvl w:ilvl="3" w:tplc="0CD6BEA0">
      <w:numFmt w:val="bullet"/>
      <w:lvlText w:val="•"/>
      <w:lvlJc w:val="left"/>
      <w:pPr>
        <w:ind w:left="2235" w:hanging="361"/>
      </w:pPr>
      <w:rPr>
        <w:rFonts w:hint="default"/>
        <w:lang w:val="en-US" w:eastAsia="en-US" w:bidi="ar-SA"/>
      </w:rPr>
    </w:lvl>
    <w:lvl w:ilvl="4" w:tplc="9B3E3960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  <w:lvl w:ilvl="5" w:tplc="73866D80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ar-SA"/>
      </w:rPr>
    </w:lvl>
    <w:lvl w:ilvl="6" w:tplc="271CCC5A">
      <w:numFmt w:val="bullet"/>
      <w:lvlText w:val="•"/>
      <w:lvlJc w:val="left"/>
      <w:pPr>
        <w:ind w:left="4419" w:hanging="361"/>
      </w:pPr>
      <w:rPr>
        <w:rFonts w:hint="default"/>
        <w:lang w:val="en-US" w:eastAsia="en-US" w:bidi="ar-SA"/>
      </w:rPr>
    </w:lvl>
    <w:lvl w:ilvl="7" w:tplc="1ACC7626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8" w:tplc="31D8B5DA"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13A9"/>
    <w:multiLevelType w:val="hybridMultilevel"/>
    <w:tmpl w:val="DF6CA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06A81"/>
    <w:multiLevelType w:val="multilevel"/>
    <w:tmpl w:val="6936BC58"/>
    <w:lvl w:ilvl="0">
      <w:start w:val="1"/>
      <w:numFmt w:val="decimal"/>
      <w:lvlText w:val="%1."/>
      <w:lvlJc w:val="left"/>
      <w:pPr>
        <w:ind w:left="826" w:hanging="720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0E86DE8"/>
    <w:multiLevelType w:val="hybridMultilevel"/>
    <w:tmpl w:val="41E0C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E12ED"/>
    <w:multiLevelType w:val="hybridMultilevel"/>
    <w:tmpl w:val="86563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274B2"/>
    <w:multiLevelType w:val="hybridMultilevel"/>
    <w:tmpl w:val="3DE26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A3D02"/>
    <w:multiLevelType w:val="hybridMultilevel"/>
    <w:tmpl w:val="689EC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6"/>
  </w:num>
  <w:num w:numId="2" w16cid:durableId="2089961211">
    <w:abstractNumId w:val="10"/>
  </w:num>
  <w:num w:numId="3" w16cid:durableId="1571237046">
    <w:abstractNumId w:val="5"/>
  </w:num>
  <w:num w:numId="4" w16cid:durableId="25837210">
    <w:abstractNumId w:val="7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23"/>
  </w:num>
  <w:num w:numId="8" w16cid:durableId="552353022">
    <w:abstractNumId w:val="8"/>
  </w:num>
  <w:num w:numId="9" w16cid:durableId="1721396549">
    <w:abstractNumId w:val="20"/>
  </w:num>
  <w:num w:numId="10" w16cid:durableId="1382171699">
    <w:abstractNumId w:val="22"/>
  </w:num>
  <w:num w:numId="11" w16cid:durableId="1081414910">
    <w:abstractNumId w:val="19"/>
  </w:num>
  <w:num w:numId="12" w16cid:durableId="359161447">
    <w:abstractNumId w:val="14"/>
  </w:num>
  <w:num w:numId="13" w16cid:durableId="1294411092">
    <w:abstractNumId w:val="2"/>
  </w:num>
  <w:num w:numId="14" w16cid:durableId="517697596">
    <w:abstractNumId w:val="13"/>
  </w:num>
  <w:num w:numId="15" w16cid:durableId="616452338">
    <w:abstractNumId w:val="12"/>
  </w:num>
  <w:num w:numId="16" w16cid:durableId="876552703">
    <w:abstractNumId w:val="16"/>
  </w:num>
  <w:num w:numId="17" w16cid:durableId="957376942">
    <w:abstractNumId w:val="3"/>
  </w:num>
  <w:num w:numId="18" w16cid:durableId="1638484208">
    <w:abstractNumId w:val="18"/>
  </w:num>
  <w:num w:numId="19" w16cid:durableId="1156847968">
    <w:abstractNumId w:val="9"/>
  </w:num>
  <w:num w:numId="20" w16cid:durableId="825514382">
    <w:abstractNumId w:val="21"/>
  </w:num>
  <w:num w:numId="21" w16cid:durableId="2033649732">
    <w:abstractNumId w:val="15"/>
  </w:num>
  <w:num w:numId="22" w16cid:durableId="780223007">
    <w:abstractNumId w:val="17"/>
  </w:num>
  <w:num w:numId="23" w16cid:durableId="1131946736">
    <w:abstractNumId w:val="24"/>
  </w:num>
  <w:num w:numId="24" w16cid:durableId="1148060416">
    <w:abstractNumId w:val="11"/>
  </w:num>
  <w:num w:numId="25" w16cid:durableId="243804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917AF"/>
    <w:rsid w:val="000C43AA"/>
    <w:rsid w:val="000C78AD"/>
    <w:rsid w:val="000E7451"/>
    <w:rsid w:val="000F0AF3"/>
    <w:rsid w:val="000F52AF"/>
    <w:rsid w:val="000F69A7"/>
    <w:rsid w:val="000F74FC"/>
    <w:rsid w:val="00100D7B"/>
    <w:rsid w:val="00104AA1"/>
    <w:rsid w:val="00113BA8"/>
    <w:rsid w:val="00132D07"/>
    <w:rsid w:val="00134ED2"/>
    <w:rsid w:val="00141B09"/>
    <w:rsid w:val="001422C3"/>
    <w:rsid w:val="00147DAE"/>
    <w:rsid w:val="001574D4"/>
    <w:rsid w:val="001863DD"/>
    <w:rsid w:val="001A2DE2"/>
    <w:rsid w:val="001B0ABA"/>
    <w:rsid w:val="001D19B2"/>
    <w:rsid w:val="001D3F5B"/>
    <w:rsid w:val="00200141"/>
    <w:rsid w:val="00213F94"/>
    <w:rsid w:val="002416A1"/>
    <w:rsid w:val="00245F8E"/>
    <w:rsid w:val="00252989"/>
    <w:rsid w:val="00253B48"/>
    <w:rsid w:val="00280B57"/>
    <w:rsid w:val="00280F64"/>
    <w:rsid w:val="00284292"/>
    <w:rsid w:val="002905D3"/>
    <w:rsid w:val="002A2907"/>
    <w:rsid w:val="002A4A45"/>
    <w:rsid w:val="002C29BB"/>
    <w:rsid w:val="002C5800"/>
    <w:rsid w:val="002E0A0A"/>
    <w:rsid w:val="002E7BCB"/>
    <w:rsid w:val="002F242C"/>
    <w:rsid w:val="00301424"/>
    <w:rsid w:val="00312A78"/>
    <w:rsid w:val="00315B62"/>
    <w:rsid w:val="00316E49"/>
    <w:rsid w:val="00321BB4"/>
    <w:rsid w:val="003272F6"/>
    <w:rsid w:val="00333A32"/>
    <w:rsid w:val="00336DDF"/>
    <w:rsid w:val="00342486"/>
    <w:rsid w:val="003470B9"/>
    <w:rsid w:val="003673F1"/>
    <w:rsid w:val="0038479F"/>
    <w:rsid w:val="00387391"/>
    <w:rsid w:val="00392032"/>
    <w:rsid w:val="003B66E2"/>
    <w:rsid w:val="003E194C"/>
    <w:rsid w:val="003E36FE"/>
    <w:rsid w:val="003E3A40"/>
    <w:rsid w:val="003F4A77"/>
    <w:rsid w:val="00437427"/>
    <w:rsid w:val="00450E1F"/>
    <w:rsid w:val="004701DB"/>
    <w:rsid w:val="00473D9C"/>
    <w:rsid w:val="00476519"/>
    <w:rsid w:val="004841AF"/>
    <w:rsid w:val="004B0444"/>
    <w:rsid w:val="004C7A65"/>
    <w:rsid w:val="004D0EBE"/>
    <w:rsid w:val="004D457C"/>
    <w:rsid w:val="004D5084"/>
    <w:rsid w:val="004D5E8D"/>
    <w:rsid w:val="0052649E"/>
    <w:rsid w:val="00545022"/>
    <w:rsid w:val="00545980"/>
    <w:rsid w:val="00567AB0"/>
    <w:rsid w:val="00587BFF"/>
    <w:rsid w:val="005A11A8"/>
    <w:rsid w:val="005B5799"/>
    <w:rsid w:val="005D0CDC"/>
    <w:rsid w:val="005D1DD7"/>
    <w:rsid w:val="005E458E"/>
    <w:rsid w:val="005F5AB4"/>
    <w:rsid w:val="0064561C"/>
    <w:rsid w:val="0065374D"/>
    <w:rsid w:val="006756F5"/>
    <w:rsid w:val="00676871"/>
    <w:rsid w:val="0068137D"/>
    <w:rsid w:val="00681C46"/>
    <w:rsid w:val="00692645"/>
    <w:rsid w:val="00695E8E"/>
    <w:rsid w:val="006A15BE"/>
    <w:rsid w:val="006B1E43"/>
    <w:rsid w:val="006B290A"/>
    <w:rsid w:val="006B7B57"/>
    <w:rsid w:val="006C7106"/>
    <w:rsid w:val="006D5C3C"/>
    <w:rsid w:val="006D74AF"/>
    <w:rsid w:val="006F5E43"/>
    <w:rsid w:val="00710D4B"/>
    <w:rsid w:val="007357B2"/>
    <w:rsid w:val="00740477"/>
    <w:rsid w:val="007546BC"/>
    <w:rsid w:val="00773324"/>
    <w:rsid w:val="00785CEE"/>
    <w:rsid w:val="0079374F"/>
    <w:rsid w:val="007B0780"/>
    <w:rsid w:val="007C22C0"/>
    <w:rsid w:val="007C7BE1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D4930"/>
    <w:rsid w:val="008E2257"/>
    <w:rsid w:val="008E5D00"/>
    <w:rsid w:val="008E6D5C"/>
    <w:rsid w:val="008F7E74"/>
    <w:rsid w:val="0090375B"/>
    <w:rsid w:val="009230E8"/>
    <w:rsid w:val="00926304"/>
    <w:rsid w:val="00930509"/>
    <w:rsid w:val="00936A85"/>
    <w:rsid w:val="00941081"/>
    <w:rsid w:val="0096738B"/>
    <w:rsid w:val="009709F6"/>
    <w:rsid w:val="009B4D39"/>
    <w:rsid w:val="009D4E4F"/>
    <w:rsid w:val="009D6C94"/>
    <w:rsid w:val="009E4F2D"/>
    <w:rsid w:val="009E5E31"/>
    <w:rsid w:val="009E70E7"/>
    <w:rsid w:val="009F044A"/>
    <w:rsid w:val="00A12842"/>
    <w:rsid w:val="00A174B3"/>
    <w:rsid w:val="00A31CC6"/>
    <w:rsid w:val="00A368FE"/>
    <w:rsid w:val="00A73EAD"/>
    <w:rsid w:val="00A84BE7"/>
    <w:rsid w:val="00A85C2B"/>
    <w:rsid w:val="00A860EF"/>
    <w:rsid w:val="00A907FE"/>
    <w:rsid w:val="00A97E01"/>
    <w:rsid w:val="00AA3805"/>
    <w:rsid w:val="00AB07A8"/>
    <w:rsid w:val="00AB5F51"/>
    <w:rsid w:val="00AC5506"/>
    <w:rsid w:val="00AD7625"/>
    <w:rsid w:val="00AF5C29"/>
    <w:rsid w:val="00B06E6C"/>
    <w:rsid w:val="00B17251"/>
    <w:rsid w:val="00B24B39"/>
    <w:rsid w:val="00B25419"/>
    <w:rsid w:val="00B25C22"/>
    <w:rsid w:val="00B265C9"/>
    <w:rsid w:val="00B30C4B"/>
    <w:rsid w:val="00B35F14"/>
    <w:rsid w:val="00B51F1D"/>
    <w:rsid w:val="00B74723"/>
    <w:rsid w:val="00B849D4"/>
    <w:rsid w:val="00BA42B9"/>
    <w:rsid w:val="00BA708E"/>
    <w:rsid w:val="00BD2F8F"/>
    <w:rsid w:val="00BE1BD1"/>
    <w:rsid w:val="00BE5BD4"/>
    <w:rsid w:val="00BF2B05"/>
    <w:rsid w:val="00C24DC7"/>
    <w:rsid w:val="00C346AF"/>
    <w:rsid w:val="00C674FB"/>
    <w:rsid w:val="00C75DBA"/>
    <w:rsid w:val="00C9665D"/>
    <w:rsid w:val="00C96DDA"/>
    <w:rsid w:val="00CA5210"/>
    <w:rsid w:val="00CB25DB"/>
    <w:rsid w:val="00CC0AC3"/>
    <w:rsid w:val="00CE0249"/>
    <w:rsid w:val="00CF2878"/>
    <w:rsid w:val="00D32C66"/>
    <w:rsid w:val="00D406FE"/>
    <w:rsid w:val="00D6581A"/>
    <w:rsid w:val="00D77781"/>
    <w:rsid w:val="00D81D96"/>
    <w:rsid w:val="00D85D58"/>
    <w:rsid w:val="00DC1020"/>
    <w:rsid w:val="00DE1813"/>
    <w:rsid w:val="00DE1D2E"/>
    <w:rsid w:val="00DF387F"/>
    <w:rsid w:val="00E008C6"/>
    <w:rsid w:val="00E21E4F"/>
    <w:rsid w:val="00E24B87"/>
    <w:rsid w:val="00E37606"/>
    <w:rsid w:val="00E41EC2"/>
    <w:rsid w:val="00E707DD"/>
    <w:rsid w:val="00E903A9"/>
    <w:rsid w:val="00E95BD2"/>
    <w:rsid w:val="00E96F12"/>
    <w:rsid w:val="00EA3DEA"/>
    <w:rsid w:val="00EC6DE1"/>
    <w:rsid w:val="00ED0CE6"/>
    <w:rsid w:val="00ED5E94"/>
    <w:rsid w:val="00EF174F"/>
    <w:rsid w:val="00F03B2B"/>
    <w:rsid w:val="00F447A4"/>
    <w:rsid w:val="00F45743"/>
    <w:rsid w:val="00F45D3A"/>
    <w:rsid w:val="00F5730A"/>
    <w:rsid w:val="00F6551C"/>
    <w:rsid w:val="00F83267"/>
    <w:rsid w:val="00F9202D"/>
    <w:rsid w:val="00FA7DE5"/>
    <w:rsid w:val="00FB2849"/>
    <w:rsid w:val="00FD478B"/>
    <w:rsid w:val="00FD6D14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styleId="CommentReference">
    <w:name w:val="annotation reference"/>
    <w:basedOn w:val="DefaultParagraphFont"/>
    <w:uiPriority w:val="99"/>
    <w:semiHidden/>
    <w:unhideWhenUsed/>
    <w:rsid w:val="006D7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Nicolae Nitu</cp:lastModifiedBy>
  <cp:revision>13</cp:revision>
  <cp:lastPrinted>2023-08-22T02:25:00Z</cp:lastPrinted>
  <dcterms:created xsi:type="dcterms:W3CDTF">2025-09-19T03:29:00Z</dcterms:created>
  <dcterms:modified xsi:type="dcterms:W3CDTF">2025-09-22T01:54:00Z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K26A63B81</vt:lpwstr>
  </property>
  <property fmtid="{D5CDD505-2E9C-101B-9397-08002B2CF9AE}" pid="3" name="GrammarlyDocumentId">
    <vt:lpwstr>78936f598ccc7884b8bc3040412157af042af16c005a085290d96d0b62d4a449</vt:lpwstr>
  </property>
</Properties>
</file>