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341BF" w14:textId="3A7E32D9" w:rsidR="00AC5D63" w:rsidRPr="0020638F" w:rsidRDefault="00AC4874" w:rsidP="00AC5D63">
      <w:pPr>
        <w:rPr>
          <w:rFonts w:asciiTheme="majorHAnsi" w:hAnsiTheme="majorHAnsi" w:cstheme="majorHAnsi"/>
          <w:b/>
          <w:bCs w:val="0"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bCs w:val="0"/>
          <w:sz w:val="22"/>
          <w:szCs w:val="22"/>
          <w:u w:val="single"/>
        </w:rPr>
        <w:t>Attachment</w:t>
      </w:r>
      <w:r w:rsidR="00536594" w:rsidRPr="0020638F">
        <w:rPr>
          <w:rFonts w:asciiTheme="majorHAnsi" w:hAnsiTheme="majorHAnsi" w:cstheme="majorHAnsi"/>
          <w:b/>
          <w:bCs w:val="0"/>
          <w:sz w:val="22"/>
          <w:szCs w:val="22"/>
          <w:u w:val="single"/>
        </w:rPr>
        <w:t xml:space="preserve"> 1 - </w:t>
      </w:r>
      <w:r w:rsidR="00AC5D63" w:rsidRPr="0020638F">
        <w:rPr>
          <w:rFonts w:asciiTheme="majorHAnsi" w:hAnsiTheme="majorHAnsi" w:cstheme="majorHAnsi"/>
          <w:b/>
          <w:bCs w:val="0"/>
          <w:sz w:val="22"/>
          <w:szCs w:val="22"/>
          <w:u w:val="single"/>
        </w:rPr>
        <w:t>Manager Key Functions and Duties</w:t>
      </w:r>
    </w:p>
    <w:p w14:paraId="63CE0690" w14:textId="77777777" w:rsidR="00AC5D63" w:rsidRPr="00D761DA" w:rsidRDefault="00AC5D63" w:rsidP="00AC5D63">
      <w:pPr>
        <w:ind w:left="720"/>
        <w:rPr>
          <w:rFonts w:ascii="Calibri" w:hAnsi="Calibri" w:cs="Arial"/>
          <w:b/>
          <w:bCs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7215"/>
      </w:tblGrid>
      <w:tr w:rsidR="00AC5D63" w:rsidRPr="0020638F" w14:paraId="2311805B" w14:textId="77777777" w:rsidTr="00174B27">
        <w:tc>
          <w:tcPr>
            <w:tcW w:w="1951" w:type="dxa"/>
            <w:shd w:val="clear" w:color="auto" w:fill="AFD74F"/>
          </w:tcPr>
          <w:p w14:paraId="71DEBBC5" w14:textId="77777777" w:rsidR="00AC5D63" w:rsidRPr="0020638F" w:rsidRDefault="00AC5D63" w:rsidP="00174B27">
            <w:pPr>
              <w:rPr>
                <w:rFonts w:asciiTheme="majorHAnsi" w:hAnsiTheme="majorHAnsi" w:cstheme="majorHAnsi"/>
                <w:b/>
                <w:bCs w:val="0"/>
                <w:szCs w:val="20"/>
              </w:rPr>
            </w:pPr>
            <w:r w:rsidRPr="0020638F">
              <w:rPr>
                <w:rFonts w:asciiTheme="majorHAnsi" w:hAnsiTheme="majorHAnsi" w:cstheme="majorHAnsi"/>
                <w:b/>
                <w:bCs w:val="0"/>
                <w:szCs w:val="20"/>
              </w:rPr>
              <w:t>Key functions</w:t>
            </w:r>
          </w:p>
        </w:tc>
        <w:tc>
          <w:tcPr>
            <w:tcW w:w="8930" w:type="dxa"/>
            <w:shd w:val="clear" w:color="auto" w:fill="AFD74F"/>
          </w:tcPr>
          <w:p w14:paraId="08D65F45" w14:textId="77777777" w:rsidR="00AC5D63" w:rsidRPr="0020638F" w:rsidRDefault="00AC5D63" w:rsidP="00174B27">
            <w:pPr>
              <w:rPr>
                <w:rFonts w:asciiTheme="majorHAnsi" w:hAnsiTheme="majorHAnsi" w:cstheme="majorHAnsi"/>
                <w:b/>
                <w:bCs w:val="0"/>
                <w:szCs w:val="20"/>
              </w:rPr>
            </w:pPr>
            <w:r w:rsidRPr="0020638F">
              <w:rPr>
                <w:rFonts w:asciiTheme="majorHAnsi" w:hAnsiTheme="majorHAnsi" w:cstheme="majorHAnsi"/>
                <w:b/>
                <w:bCs w:val="0"/>
                <w:szCs w:val="20"/>
              </w:rPr>
              <w:t>Specific duties</w:t>
            </w:r>
          </w:p>
        </w:tc>
      </w:tr>
      <w:tr w:rsidR="00AC5D63" w:rsidRPr="0020638F" w14:paraId="2AC91490" w14:textId="77777777" w:rsidTr="00174B2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5F5ED" w14:textId="77777777" w:rsidR="00AC5D63" w:rsidRPr="0020638F" w:rsidRDefault="00AC5D63" w:rsidP="00C942C4">
            <w:pPr>
              <w:jc w:val="both"/>
              <w:rPr>
                <w:rFonts w:asciiTheme="majorHAnsi" w:hAnsiTheme="majorHAnsi" w:cstheme="majorHAnsi"/>
                <w:bCs w:val="0"/>
                <w:szCs w:val="20"/>
              </w:rPr>
            </w:pPr>
            <w:r w:rsidRPr="0020638F">
              <w:rPr>
                <w:rFonts w:asciiTheme="majorHAnsi" w:hAnsiTheme="majorHAnsi" w:cstheme="majorHAnsi"/>
                <w:bCs w:val="0"/>
                <w:szCs w:val="20"/>
              </w:rPr>
              <w:t>Effective governance &amp; corporate leadership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88141" w14:textId="77777777" w:rsidR="00AC5D63" w:rsidRPr="0020638F" w:rsidRDefault="00AC5D63" w:rsidP="00C942C4">
            <w:pPr>
              <w:jc w:val="both"/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</w:pPr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t>To provide leadership and develop relationships, which will encourage and enhance the reputation of the Unit within the Shire as a key member of the Senior Leadership Team (SLT). This role will include:</w:t>
            </w:r>
          </w:p>
          <w:p w14:paraId="253373B4" w14:textId="77777777" w:rsidR="00AC5D63" w:rsidRPr="0020638F" w:rsidRDefault="00AC5D63" w:rsidP="00C942C4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bCs w:val="0"/>
                <w:szCs w:val="20"/>
              </w:rPr>
            </w:pPr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t xml:space="preserve">Oversight of the development of the Unit and provision of </w:t>
            </w:r>
            <w:proofErr w:type="gramStart"/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t>high level</w:t>
            </w:r>
            <w:proofErr w:type="gramEnd"/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t xml:space="preserve"> advice to Council, Shire Officers, relevant stakeholders and the Community on Local Government and relevant legislation, operations and the specific to the Unit.</w:t>
            </w:r>
          </w:p>
          <w:p w14:paraId="41EA991B" w14:textId="77777777" w:rsidR="00AC5D63" w:rsidRPr="0020638F" w:rsidRDefault="00AC5D63" w:rsidP="00C942C4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bCs w:val="0"/>
                <w:szCs w:val="20"/>
              </w:rPr>
            </w:pPr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t>Oversight of the development of best practice within the Unit.</w:t>
            </w:r>
          </w:p>
          <w:p w14:paraId="60007D0B" w14:textId="77777777" w:rsidR="00AC5D63" w:rsidRPr="0020638F" w:rsidRDefault="00AC5D63" w:rsidP="00C942C4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bCs w:val="0"/>
                <w:szCs w:val="20"/>
              </w:rPr>
            </w:pPr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t>Preparation of reports for Council and Committee meetings and responding to Council’s requests for information and advice.</w:t>
            </w:r>
          </w:p>
          <w:p w14:paraId="0DC9FFD7" w14:textId="77777777" w:rsidR="00AC5D63" w:rsidRPr="0020638F" w:rsidRDefault="00AC5D63" w:rsidP="00C942C4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bCs w:val="0"/>
                <w:szCs w:val="20"/>
              </w:rPr>
            </w:pPr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t>Management of projects and initiatives that meet strategic outcomes within adopted timeframes.</w:t>
            </w:r>
          </w:p>
          <w:p w14:paraId="1968A3B7" w14:textId="77777777" w:rsidR="00AC5D63" w:rsidRPr="0020638F" w:rsidRDefault="00AC5D63" w:rsidP="00C942C4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bCs w:val="0"/>
                <w:szCs w:val="20"/>
              </w:rPr>
            </w:pPr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t>Leading the development of policies and initiatives that provide for future development in Council’s approach to the services it provides for its ratepayers and community users</w:t>
            </w:r>
          </w:p>
          <w:p w14:paraId="5E5D5754" w14:textId="77777777" w:rsidR="00AC5D63" w:rsidRPr="0020638F" w:rsidRDefault="00AC5D63" w:rsidP="00C942C4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bCs w:val="0"/>
                <w:szCs w:val="20"/>
              </w:rPr>
            </w:pPr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t>Lead and model behaviours consistent with the Shire’s Values and Code of Conduct, policies and management practices as amended from time to time</w:t>
            </w:r>
          </w:p>
          <w:p w14:paraId="3DEC2608" w14:textId="77777777" w:rsidR="00AC5D63" w:rsidRPr="0020638F" w:rsidRDefault="00AC5D63" w:rsidP="00C942C4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bCs w:val="0"/>
                <w:szCs w:val="20"/>
              </w:rPr>
            </w:pPr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t>Develop leaderships systems that promote accountability, good governance, risk management and financial due diligence</w:t>
            </w:r>
          </w:p>
          <w:p w14:paraId="277BC5B1" w14:textId="77777777" w:rsidR="00AC5D63" w:rsidRPr="0020638F" w:rsidRDefault="00AC5D63" w:rsidP="00C942C4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bCs w:val="0"/>
                <w:szCs w:val="20"/>
              </w:rPr>
            </w:pPr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t>Provide clear direction, communication and support towards achieving the Shire’s vision</w:t>
            </w:r>
          </w:p>
          <w:p w14:paraId="525BE766" w14:textId="77777777" w:rsidR="00AC5D63" w:rsidRPr="0020638F" w:rsidRDefault="00AC5D63" w:rsidP="00C942C4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bCs w:val="0"/>
                <w:szCs w:val="20"/>
              </w:rPr>
            </w:pPr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t>Ensure all duties as directed by the Chief Executive Officer and Director are fully undertaken in a timely fashion.</w:t>
            </w:r>
          </w:p>
        </w:tc>
      </w:tr>
      <w:tr w:rsidR="00AC5D63" w:rsidRPr="0020638F" w14:paraId="2CECC916" w14:textId="77777777" w:rsidTr="00174B2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6B05A" w14:textId="77777777" w:rsidR="00AC5D63" w:rsidRPr="0020638F" w:rsidRDefault="00AC5D63" w:rsidP="00C942C4">
            <w:pPr>
              <w:jc w:val="both"/>
              <w:rPr>
                <w:rFonts w:asciiTheme="majorHAnsi" w:hAnsiTheme="majorHAnsi" w:cstheme="majorHAnsi"/>
                <w:bCs w:val="0"/>
                <w:szCs w:val="20"/>
              </w:rPr>
            </w:pPr>
            <w:r w:rsidRPr="0020638F">
              <w:rPr>
                <w:rFonts w:asciiTheme="majorHAnsi" w:hAnsiTheme="majorHAnsi" w:cstheme="majorHAnsi"/>
                <w:bCs w:val="0"/>
                <w:szCs w:val="20"/>
              </w:rPr>
              <w:t>A culture of innovation, quality &amp; continuous improvement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856F2" w14:textId="77777777" w:rsidR="00AC5D63" w:rsidRPr="0020638F" w:rsidRDefault="00AC5D63" w:rsidP="00C942C4">
            <w:pPr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bCs w:val="0"/>
                <w:szCs w:val="20"/>
              </w:rPr>
            </w:pPr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t>Procedures, systems and processes are in place for all key activities within the Directorate</w:t>
            </w:r>
          </w:p>
          <w:p w14:paraId="143C4B46" w14:textId="77777777" w:rsidR="00AC5D63" w:rsidRPr="0020638F" w:rsidRDefault="00AC5D63" w:rsidP="00C942C4">
            <w:pPr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bCs w:val="0"/>
                <w:szCs w:val="20"/>
              </w:rPr>
            </w:pPr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t>Policies are developed and reviewed in a timely manner</w:t>
            </w:r>
          </w:p>
          <w:p w14:paraId="6820693C" w14:textId="77777777" w:rsidR="00AC5D63" w:rsidRPr="0020638F" w:rsidRDefault="00AC5D63" w:rsidP="00C942C4">
            <w:pPr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bCs w:val="0"/>
                <w:szCs w:val="20"/>
              </w:rPr>
            </w:pPr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t>Adopts industry best practice standards</w:t>
            </w:r>
          </w:p>
          <w:p w14:paraId="3E721477" w14:textId="77777777" w:rsidR="00AC5D63" w:rsidRPr="0020638F" w:rsidRDefault="00AC5D63" w:rsidP="00C942C4">
            <w:pPr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bCs w:val="0"/>
                <w:szCs w:val="20"/>
              </w:rPr>
            </w:pPr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t>Applies benchmarking or industry comparisons as a tool for performance improvement</w:t>
            </w:r>
          </w:p>
          <w:p w14:paraId="3987E1C3" w14:textId="77777777" w:rsidR="00AC5D63" w:rsidRPr="0020638F" w:rsidRDefault="00AC5D63" w:rsidP="00C942C4">
            <w:pPr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bCs w:val="0"/>
                <w:szCs w:val="20"/>
              </w:rPr>
            </w:pPr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t>Manages and leads innovation</w:t>
            </w:r>
          </w:p>
        </w:tc>
      </w:tr>
      <w:tr w:rsidR="00AC5D63" w:rsidRPr="0020638F" w14:paraId="7356E156" w14:textId="77777777" w:rsidTr="00174B2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B2344" w14:textId="77777777" w:rsidR="00AC5D63" w:rsidRPr="0020638F" w:rsidRDefault="00AC5D63" w:rsidP="00C942C4">
            <w:pPr>
              <w:jc w:val="both"/>
              <w:rPr>
                <w:rFonts w:asciiTheme="majorHAnsi" w:hAnsiTheme="majorHAnsi" w:cstheme="majorHAnsi"/>
                <w:bCs w:val="0"/>
                <w:szCs w:val="20"/>
              </w:rPr>
            </w:pPr>
            <w:r w:rsidRPr="0020638F">
              <w:rPr>
                <w:rFonts w:asciiTheme="majorHAnsi" w:hAnsiTheme="majorHAnsi" w:cstheme="majorHAnsi"/>
                <w:bCs w:val="0"/>
                <w:szCs w:val="20"/>
              </w:rPr>
              <w:t>Effective strategy, planning &amp; asset management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4AC1C" w14:textId="77777777" w:rsidR="00AC5D63" w:rsidRPr="0020638F" w:rsidRDefault="00AC5D63" w:rsidP="00C942C4">
            <w:pPr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bCs w:val="0"/>
                <w:szCs w:val="20"/>
              </w:rPr>
            </w:pPr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t xml:space="preserve">Contribute to the attainment and development of strategic plan outcomes, goals, strategies and </w:t>
            </w:r>
            <w:proofErr w:type="gramStart"/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t>actions;</w:t>
            </w:r>
            <w:proofErr w:type="gramEnd"/>
          </w:p>
          <w:p w14:paraId="6B3BA827" w14:textId="77777777" w:rsidR="00AC5D63" w:rsidRPr="0020638F" w:rsidRDefault="00AC5D63" w:rsidP="00C942C4">
            <w:pPr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bCs w:val="0"/>
                <w:szCs w:val="20"/>
              </w:rPr>
            </w:pPr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t>Fulfils integrated planning requirements including Strategic, Corporate, Operational, Asset, Financial and Workforce Planning</w:t>
            </w:r>
          </w:p>
          <w:p w14:paraId="6AAED547" w14:textId="77777777" w:rsidR="00AC5D63" w:rsidRPr="0020638F" w:rsidRDefault="00AC5D63" w:rsidP="00C942C4">
            <w:pPr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bCs w:val="0"/>
                <w:szCs w:val="20"/>
              </w:rPr>
            </w:pPr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t>Applies financial benchmarks such as unit costs to measure and improve productivity</w:t>
            </w:r>
          </w:p>
          <w:p w14:paraId="50390166" w14:textId="77777777" w:rsidR="00AC5D63" w:rsidRPr="0020638F" w:rsidRDefault="00AC5D63" w:rsidP="00C942C4">
            <w:pPr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bCs w:val="0"/>
                <w:szCs w:val="20"/>
              </w:rPr>
            </w:pPr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t>Seeks supplementary funding including grants to expand services</w:t>
            </w:r>
          </w:p>
          <w:p w14:paraId="35F78284" w14:textId="77777777" w:rsidR="00AC5D63" w:rsidRPr="0020638F" w:rsidRDefault="00AC5D63" w:rsidP="00C942C4">
            <w:pPr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bCs w:val="0"/>
                <w:szCs w:val="20"/>
              </w:rPr>
            </w:pPr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t>Complies with Council's purchasing and tendering procedures</w:t>
            </w:r>
          </w:p>
        </w:tc>
      </w:tr>
      <w:tr w:rsidR="00AC5D63" w:rsidRPr="0020638F" w14:paraId="4AB7DB04" w14:textId="77777777" w:rsidTr="00174B2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F82D9" w14:textId="77777777" w:rsidR="00AC5D63" w:rsidRPr="0020638F" w:rsidRDefault="00AC5D63" w:rsidP="00C942C4">
            <w:pPr>
              <w:jc w:val="both"/>
              <w:rPr>
                <w:rFonts w:asciiTheme="majorHAnsi" w:hAnsiTheme="majorHAnsi" w:cstheme="majorHAnsi"/>
                <w:bCs w:val="0"/>
                <w:szCs w:val="20"/>
              </w:rPr>
            </w:pPr>
            <w:r w:rsidRPr="0020638F">
              <w:rPr>
                <w:rFonts w:asciiTheme="majorHAnsi" w:hAnsiTheme="majorHAnsi" w:cstheme="majorHAnsi"/>
                <w:bCs w:val="0"/>
                <w:szCs w:val="20"/>
              </w:rPr>
              <w:t>Effective knowledge &amp; information management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B9A2B" w14:textId="77777777" w:rsidR="00AC5D63" w:rsidRPr="0020638F" w:rsidRDefault="00AC5D63" w:rsidP="00C942C4">
            <w:pPr>
              <w:numPr>
                <w:ilvl w:val="0"/>
                <w:numId w:val="4"/>
              </w:numPr>
              <w:jc w:val="both"/>
              <w:rPr>
                <w:rFonts w:asciiTheme="majorHAnsi" w:hAnsiTheme="majorHAnsi" w:cstheme="majorHAnsi"/>
                <w:bCs w:val="0"/>
                <w:szCs w:val="20"/>
              </w:rPr>
            </w:pPr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t>Accurate and timely registration of Shire records</w:t>
            </w:r>
          </w:p>
          <w:p w14:paraId="12F64D93" w14:textId="77777777" w:rsidR="00AC5D63" w:rsidRPr="0020638F" w:rsidRDefault="00AC5D63" w:rsidP="00C942C4">
            <w:pPr>
              <w:numPr>
                <w:ilvl w:val="0"/>
                <w:numId w:val="4"/>
              </w:numPr>
              <w:jc w:val="both"/>
              <w:rPr>
                <w:rFonts w:asciiTheme="majorHAnsi" w:hAnsiTheme="majorHAnsi" w:cstheme="majorHAnsi"/>
                <w:bCs w:val="0"/>
                <w:szCs w:val="20"/>
              </w:rPr>
            </w:pPr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t>FOI request information submitted in a timely manner</w:t>
            </w:r>
          </w:p>
          <w:p w14:paraId="0E0AADBD" w14:textId="77777777" w:rsidR="00AC5D63" w:rsidRPr="0020638F" w:rsidRDefault="00AC5D63" w:rsidP="00C942C4">
            <w:pPr>
              <w:numPr>
                <w:ilvl w:val="0"/>
                <w:numId w:val="4"/>
              </w:numPr>
              <w:jc w:val="both"/>
              <w:rPr>
                <w:rFonts w:asciiTheme="majorHAnsi" w:hAnsiTheme="majorHAnsi" w:cstheme="majorHAnsi"/>
                <w:bCs w:val="0"/>
                <w:szCs w:val="20"/>
              </w:rPr>
            </w:pPr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t>Records are processed as per the Shire's Record Keeping Plan and State Records requirements</w:t>
            </w:r>
          </w:p>
        </w:tc>
      </w:tr>
      <w:tr w:rsidR="00AC5D63" w:rsidRPr="0020638F" w14:paraId="126FAC73" w14:textId="77777777" w:rsidTr="00174B2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9FA81" w14:textId="77777777" w:rsidR="00AC5D63" w:rsidRPr="0020638F" w:rsidRDefault="00AC5D63" w:rsidP="00C942C4">
            <w:pPr>
              <w:jc w:val="both"/>
              <w:rPr>
                <w:rFonts w:asciiTheme="majorHAnsi" w:hAnsiTheme="majorHAnsi" w:cstheme="majorHAnsi"/>
                <w:bCs w:val="0"/>
                <w:szCs w:val="20"/>
              </w:rPr>
            </w:pPr>
            <w:r w:rsidRPr="0020638F">
              <w:rPr>
                <w:rFonts w:asciiTheme="majorHAnsi" w:hAnsiTheme="majorHAnsi" w:cstheme="majorHAnsi"/>
                <w:bCs w:val="0"/>
                <w:szCs w:val="20"/>
              </w:rPr>
              <w:t>Community &amp; customer focus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BD65E" w14:textId="77777777" w:rsidR="00AC5D63" w:rsidRPr="0020638F" w:rsidRDefault="00AC5D63" w:rsidP="00C942C4">
            <w:pPr>
              <w:widowControl w:val="0"/>
              <w:numPr>
                <w:ilvl w:val="0"/>
                <w:numId w:val="5"/>
              </w:numPr>
              <w:tabs>
                <w:tab w:val="left" w:pos="120"/>
              </w:tabs>
              <w:spacing w:line="258" w:lineRule="exact"/>
              <w:jc w:val="both"/>
              <w:rPr>
                <w:rFonts w:asciiTheme="majorHAnsi" w:hAnsiTheme="majorHAnsi" w:cstheme="majorHAnsi"/>
                <w:szCs w:val="20"/>
              </w:rPr>
            </w:pPr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t>Shire Customer Service Standards are followed within the Unit</w:t>
            </w:r>
          </w:p>
          <w:p w14:paraId="4A8BB422" w14:textId="77777777" w:rsidR="00AC5D63" w:rsidRPr="0020638F" w:rsidRDefault="00AC5D63" w:rsidP="00C942C4">
            <w:pPr>
              <w:widowControl w:val="0"/>
              <w:numPr>
                <w:ilvl w:val="0"/>
                <w:numId w:val="5"/>
              </w:numPr>
              <w:tabs>
                <w:tab w:val="left" w:pos="120"/>
              </w:tabs>
              <w:spacing w:line="258" w:lineRule="exact"/>
              <w:jc w:val="both"/>
              <w:rPr>
                <w:rFonts w:asciiTheme="majorHAnsi" w:hAnsiTheme="majorHAnsi" w:cstheme="majorHAnsi"/>
                <w:szCs w:val="20"/>
              </w:rPr>
            </w:pPr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t>Measures and reports on customer service and satisfaction</w:t>
            </w:r>
          </w:p>
          <w:p w14:paraId="6C8A49FA" w14:textId="77777777" w:rsidR="00AC5D63" w:rsidRPr="0020638F" w:rsidRDefault="00AC5D63" w:rsidP="00C942C4">
            <w:pPr>
              <w:widowControl w:val="0"/>
              <w:numPr>
                <w:ilvl w:val="0"/>
                <w:numId w:val="5"/>
              </w:numPr>
              <w:tabs>
                <w:tab w:val="left" w:pos="120"/>
              </w:tabs>
              <w:spacing w:line="258" w:lineRule="exact"/>
              <w:jc w:val="both"/>
              <w:rPr>
                <w:rFonts w:asciiTheme="majorHAnsi" w:hAnsiTheme="majorHAnsi" w:cstheme="majorHAnsi"/>
                <w:szCs w:val="20"/>
              </w:rPr>
            </w:pPr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t xml:space="preserve">Timely and </w:t>
            </w:r>
            <w:proofErr w:type="gramStart"/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t>cost effective</w:t>
            </w:r>
            <w:proofErr w:type="gramEnd"/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t xml:space="preserve"> delivery of programs and services to customers</w:t>
            </w:r>
          </w:p>
          <w:p w14:paraId="1044DC8E" w14:textId="77777777" w:rsidR="00AC5D63" w:rsidRPr="0020638F" w:rsidRDefault="00AC5D63" w:rsidP="00C942C4">
            <w:pPr>
              <w:widowControl w:val="0"/>
              <w:numPr>
                <w:ilvl w:val="0"/>
                <w:numId w:val="5"/>
              </w:numPr>
              <w:tabs>
                <w:tab w:val="left" w:pos="120"/>
              </w:tabs>
              <w:spacing w:line="258" w:lineRule="exact"/>
              <w:jc w:val="both"/>
              <w:rPr>
                <w:rFonts w:asciiTheme="majorHAnsi" w:hAnsiTheme="majorHAnsi" w:cstheme="majorHAnsi"/>
                <w:szCs w:val="20"/>
              </w:rPr>
            </w:pPr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t>Customer complaints are registered and acted upon in a timely manner</w:t>
            </w:r>
          </w:p>
          <w:p w14:paraId="3CCDFA3E" w14:textId="77777777" w:rsidR="00AC5D63" w:rsidRPr="0020638F" w:rsidRDefault="00AC5D63" w:rsidP="00C942C4">
            <w:pPr>
              <w:widowControl w:val="0"/>
              <w:numPr>
                <w:ilvl w:val="0"/>
                <w:numId w:val="5"/>
              </w:numPr>
              <w:tabs>
                <w:tab w:val="left" w:pos="120"/>
              </w:tabs>
              <w:spacing w:line="258" w:lineRule="exact"/>
              <w:jc w:val="both"/>
              <w:rPr>
                <w:rFonts w:asciiTheme="majorHAnsi" w:hAnsiTheme="majorHAnsi" w:cstheme="majorHAnsi"/>
                <w:szCs w:val="20"/>
              </w:rPr>
            </w:pPr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t>Consults and involves stakeholders in decision making</w:t>
            </w:r>
          </w:p>
          <w:p w14:paraId="45060160" w14:textId="77777777" w:rsidR="00AC5D63" w:rsidRPr="0020638F" w:rsidRDefault="00AC5D63" w:rsidP="00C942C4">
            <w:pPr>
              <w:widowControl w:val="0"/>
              <w:numPr>
                <w:ilvl w:val="0"/>
                <w:numId w:val="5"/>
              </w:numPr>
              <w:tabs>
                <w:tab w:val="left" w:pos="120"/>
              </w:tabs>
              <w:spacing w:line="258" w:lineRule="exact"/>
              <w:jc w:val="both"/>
              <w:rPr>
                <w:rFonts w:asciiTheme="majorHAnsi" w:hAnsiTheme="majorHAnsi" w:cstheme="majorHAnsi"/>
                <w:szCs w:val="20"/>
              </w:rPr>
            </w:pPr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t>Promote positive customer relations and external communications</w:t>
            </w:r>
          </w:p>
        </w:tc>
      </w:tr>
      <w:tr w:rsidR="00AC5D63" w:rsidRPr="0020638F" w14:paraId="391EF76E" w14:textId="77777777" w:rsidTr="00174B2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772D2" w14:textId="77777777" w:rsidR="00AC5D63" w:rsidRPr="0020638F" w:rsidRDefault="00AC5D63" w:rsidP="00C942C4">
            <w:pPr>
              <w:jc w:val="both"/>
              <w:rPr>
                <w:rFonts w:asciiTheme="majorHAnsi" w:hAnsiTheme="majorHAnsi" w:cstheme="majorHAnsi"/>
                <w:bCs w:val="0"/>
                <w:szCs w:val="20"/>
              </w:rPr>
            </w:pPr>
            <w:r w:rsidRPr="0020638F">
              <w:rPr>
                <w:rFonts w:asciiTheme="majorHAnsi" w:hAnsiTheme="majorHAnsi" w:cstheme="majorHAnsi"/>
                <w:bCs w:val="0"/>
                <w:szCs w:val="20"/>
              </w:rPr>
              <w:t>Highly skilled &amp; motivated people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CC13A" w14:textId="77777777" w:rsidR="00AC5D63" w:rsidRPr="0020638F" w:rsidRDefault="00AC5D63" w:rsidP="00C942C4">
            <w:pPr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bCs w:val="0"/>
                <w:szCs w:val="20"/>
              </w:rPr>
            </w:pPr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t>Provide strategic direction and effective management of the Unit’s human resources in accordance with relevant legislation, standards and Council Policy.</w:t>
            </w:r>
          </w:p>
          <w:p w14:paraId="60CD86DD" w14:textId="77777777" w:rsidR="00AC5D63" w:rsidRPr="0020638F" w:rsidRDefault="00AC5D63" w:rsidP="00C942C4">
            <w:pPr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bCs w:val="0"/>
                <w:szCs w:val="20"/>
              </w:rPr>
            </w:pPr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t>Develops, reviews and implements workforce plans</w:t>
            </w:r>
          </w:p>
          <w:p w14:paraId="47BBC059" w14:textId="77777777" w:rsidR="00AC5D63" w:rsidRPr="0020638F" w:rsidRDefault="00AC5D63" w:rsidP="00C942C4">
            <w:pPr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bCs w:val="0"/>
                <w:szCs w:val="20"/>
              </w:rPr>
            </w:pPr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lastRenderedPageBreak/>
              <w:t>Undertakes regular team meetings and promotes effective communication within Unit</w:t>
            </w:r>
          </w:p>
          <w:p w14:paraId="08CEFE09" w14:textId="77777777" w:rsidR="00AC5D63" w:rsidRPr="0020638F" w:rsidRDefault="00AC5D63" w:rsidP="00C942C4">
            <w:pPr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bCs w:val="0"/>
                <w:szCs w:val="20"/>
              </w:rPr>
            </w:pPr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t>Staff requests and issues are managed within a timely manner</w:t>
            </w:r>
          </w:p>
          <w:p w14:paraId="07F461BC" w14:textId="77777777" w:rsidR="00AC5D63" w:rsidRPr="0020638F" w:rsidRDefault="00AC5D63" w:rsidP="00C942C4">
            <w:pPr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bCs w:val="0"/>
                <w:szCs w:val="20"/>
              </w:rPr>
            </w:pPr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t>Develops and maintains a safe and fair working environment including implementing safety controls within a timely manner</w:t>
            </w:r>
          </w:p>
          <w:p w14:paraId="45562132" w14:textId="77777777" w:rsidR="00AC5D63" w:rsidRPr="0020638F" w:rsidRDefault="00AC5D63" w:rsidP="00C942C4">
            <w:pPr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bCs w:val="0"/>
                <w:szCs w:val="20"/>
              </w:rPr>
            </w:pPr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t>Develops performance targets and evaluates and recognises staff performance in a timely manner</w:t>
            </w:r>
          </w:p>
          <w:p w14:paraId="144441F9" w14:textId="77777777" w:rsidR="00AC5D63" w:rsidRPr="0020638F" w:rsidRDefault="00AC5D63" w:rsidP="00C942C4">
            <w:pPr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bCs w:val="0"/>
                <w:szCs w:val="20"/>
              </w:rPr>
            </w:pPr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t>Contributes to the learning environment, staff inductions and development plans</w:t>
            </w:r>
          </w:p>
          <w:p w14:paraId="19A3B9E3" w14:textId="77777777" w:rsidR="00AC5D63" w:rsidRPr="0020638F" w:rsidRDefault="00AC5D63" w:rsidP="00C942C4">
            <w:pPr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bCs w:val="0"/>
                <w:szCs w:val="20"/>
              </w:rPr>
            </w:pPr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t>Manages staff recruitment and selections processes</w:t>
            </w:r>
          </w:p>
        </w:tc>
      </w:tr>
      <w:tr w:rsidR="00AC5D63" w:rsidRPr="0020638F" w14:paraId="58366D1B" w14:textId="77777777" w:rsidTr="00174B2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7191D" w14:textId="77777777" w:rsidR="00AC5D63" w:rsidRPr="0020638F" w:rsidRDefault="00AC5D63" w:rsidP="00C942C4">
            <w:pPr>
              <w:jc w:val="both"/>
              <w:rPr>
                <w:rFonts w:asciiTheme="majorHAnsi" w:hAnsiTheme="majorHAnsi" w:cstheme="majorHAnsi"/>
                <w:bCs w:val="0"/>
                <w:szCs w:val="20"/>
              </w:rPr>
            </w:pPr>
            <w:r w:rsidRPr="0020638F">
              <w:rPr>
                <w:rFonts w:asciiTheme="majorHAnsi" w:hAnsiTheme="majorHAnsi" w:cstheme="majorHAnsi"/>
                <w:bCs w:val="0"/>
                <w:szCs w:val="20"/>
              </w:rPr>
              <w:lastRenderedPageBreak/>
              <w:t>Effectively measure &amp; report on success &amp; sustainability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B6BCA" w14:textId="77777777" w:rsidR="00AC5D63" w:rsidRPr="0020638F" w:rsidRDefault="00AC5D63" w:rsidP="00C942C4">
            <w:pPr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bCs w:val="0"/>
                <w:szCs w:val="20"/>
              </w:rPr>
            </w:pPr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t>Works within budgets</w:t>
            </w:r>
          </w:p>
          <w:p w14:paraId="014300C6" w14:textId="77777777" w:rsidR="00AC5D63" w:rsidRPr="0020638F" w:rsidRDefault="00AC5D63" w:rsidP="00C942C4">
            <w:pPr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bCs w:val="0"/>
                <w:szCs w:val="20"/>
              </w:rPr>
            </w:pPr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t>Comments for Financial Management Reports are received within timeframes</w:t>
            </w:r>
          </w:p>
          <w:p w14:paraId="02815DFC" w14:textId="77777777" w:rsidR="00AC5D63" w:rsidRPr="0020638F" w:rsidRDefault="00AC5D63" w:rsidP="00C942C4">
            <w:pPr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bCs w:val="0"/>
                <w:szCs w:val="20"/>
              </w:rPr>
            </w:pPr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t>Timely completion of quarterly and annual reports</w:t>
            </w:r>
          </w:p>
          <w:p w14:paraId="37FF4CEA" w14:textId="77777777" w:rsidR="00AC5D63" w:rsidRPr="0020638F" w:rsidRDefault="00AC5D63" w:rsidP="00C942C4">
            <w:pPr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bCs w:val="0"/>
                <w:szCs w:val="20"/>
              </w:rPr>
            </w:pPr>
            <w:r w:rsidRPr="0020638F">
              <w:rPr>
                <w:rFonts w:asciiTheme="majorHAnsi" w:hAnsiTheme="majorHAnsi" w:cstheme="majorHAnsi"/>
                <w:color w:val="000000"/>
                <w:szCs w:val="20"/>
                <w:lang w:eastAsia="en-AU"/>
              </w:rPr>
              <w:t>Statutory returns submitted accurately &amp; timely</w:t>
            </w:r>
          </w:p>
        </w:tc>
      </w:tr>
    </w:tbl>
    <w:p w14:paraId="2FA73B07" w14:textId="77777777" w:rsidR="00AF5C29" w:rsidRPr="001A2DE2" w:rsidRDefault="00AF5C29" w:rsidP="00C942C4">
      <w:pPr>
        <w:jc w:val="both"/>
      </w:pPr>
    </w:p>
    <w:sectPr w:rsidR="00AF5C29" w:rsidRPr="001A2D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D5B85"/>
    <w:multiLevelType w:val="hybridMultilevel"/>
    <w:tmpl w:val="9118AC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579D"/>
    <w:multiLevelType w:val="hybridMultilevel"/>
    <w:tmpl w:val="C4C2E0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0190E"/>
    <w:multiLevelType w:val="hybridMultilevel"/>
    <w:tmpl w:val="C92046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51460"/>
    <w:multiLevelType w:val="hybridMultilevel"/>
    <w:tmpl w:val="B70AA2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12C46"/>
    <w:multiLevelType w:val="hybridMultilevel"/>
    <w:tmpl w:val="4C92FB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41E2B"/>
    <w:multiLevelType w:val="hybridMultilevel"/>
    <w:tmpl w:val="32FC7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86C73"/>
    <w:multiLevelType w:val="hybridMultilevel"/>
    <w:tmpl w:val="B144EC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522011">
    <w:abstractNumId w:val="3"/>
  </w:num>
  <w:num w:numId="2" w16cid:durableId="1256936834">
    <w:abstractNumId w:val="4"/>
  </w:num>
  <w:num w:numId="3" w16cid:durableId="389153399">
    <w:abstractNumId w:val="2"/>
  </w:num>
  <w:num w:numId="4" w16cid:durableId="943609756">
    <w:abstractNumId w:val="6"/>
  </w:num>
  <w:num w:numId="5" w16cid:durableId="1014576124">
    <w:abstractNumId w:val="1"/>
  </w:num>
  <w:num w:numId="6" w16cid:durableId="384334301">
    <w:abstractNumId w:val="5"/>
  </w:num>
  <w:num w:numId="7" w16cid:durableId="1720351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22"/>
    <w:rsid w:val="000F69A7"/>
    <w:rsid w:val="001A2DE2"/>
    <w:rsid w:val="0020638F"/>
    <w:rsid w:val="00536594"/>
    <w:rsid w:val="00587BFF"/>
    <w:rsid w:val="005E458E"/>
    <w:rsid w:val="00740477"/>
    <w:rsid w:val="008F6322"/>
    <w:rsid w:val="00AC4874"/>
    <w:rsid w:val="00AC5D63"/>
    <w:rsid w:val="00AF5C29"/>
    <w:rsid w:val="00BB5865"/>
    <w:rsid w:val="00C942C4"/>
    <w:rsid w:val="00ED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68F1B"/>
  <w15:chartTrackingRefBased/>
  <w15:docId w15:val="{80228509-30C7-4B5D-907D-30CF69FD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D63"/>
    <w:pPr>
      <w:spacing w:after="0" w:line="240" w:lineRule="auto"/>
    </w:pPr>
    <w:rPr>
      <w:rFonts w:ascii="Verdana" w:eastAsia="Times New Roman" w:hAnsi="Verdana" w:cs="Times New Roman"/>
      <w:bCs/>
      <w:iCs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0477"/>
    <w:pPr>
      <w:keepNext/>
      <w:keepLines/>
      <w:spacing w:before="240"/>
      <w:outlineLvl w:val="0"/>
    </w:pPr>
    <w:rPr>
      <w:rFonts w:eastAsiaTheme="majorEastAsia" w:cstheme="majorBidi"/>
      <w:color w:val="0072C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477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477"/>
    <w:rPr>
      <w:rFonts w:eastAsiaTheme="majorEastAsia" w:cstheme="majorBidi"/>
      <w:color w:val="0072C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477"/>
    <w:rPr>
      <w:rFonts w:eastAsiaTheme="majorEastAsia" w:cstheme="majorBidi"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MRSC Theme">
  <a:themeElements>
    <a:clrScheme name="AMRSC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2CE"/>
      </a:accent1>
      <a:accent2>
        <a:srgbClr val="00A9CE"/>
      </a:accent2>
      <a:accent3>
        <a:srgbClr val="F0B323"/>
      </a:accent3>
      <a:accent4>
        <a:srgbClr val="97D700"/>
      </a:accent4>
      <a:accent5>
        <a:srgbClr val="046A38"/>
      </a:accent5>
      <a:accent6>
        <a:srgbClr val="BAC5B9"/>
      </a:accent6>
      <a:hlink>
        <a:srgbClr val="0563C1"/>
      </a:hlink>
      <a:folHlink>
        <a:srgbClr val="954F72"/>
      </a:folHlink>
    </a:clrScheme>
    <a:fontScheme name="AMRSC 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 Nitu</dc:creator>
  <cp:keywords/>
  <dc:description/>
  <cp:lastModifiedBy>Nigel Anderson</cp:lastModifiedBy>
  <cp:revision>4</cp:revision>
  <dcterms:created xsi:type="dcterms:W3CDTF">2024-06-24T07:36:00Z</dcterms:created>
  <dcterms:modified xsi:type="dcterms:W3CDTF">2024-08-02T07:26:00Z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K798B1280</vt:lpwstr>
  </property>
</Properties>
</file>