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6804"/>
      </w:tblGrid>
      <w:tr w:rsidR="00345B3E" w:rsidRPr="000C7C5B" w14:paraId="24E8DFA4" w14:textId="77777777" w:rsidTr="00712F7A">
        <w:trPr>
          <w:trHeight w:hRule="exact" w:val="2268"/>
        </w:trPr>
        <w:tc>
          <w:tcPr>
            <w:tcW w:w="6804" w:type="dxa"/>
            <w:shd w:val="clear" w:color="auto" w:fill="auto"/>
            <w:tcMar>
              <w:left w:w="0" w:type="dxa"/>
            </w:tcMar>
          </w:tcPr>
          <w:p w14:paraId="42657840" w14:textId="10609FA1" w:rsidR="00582164" w:rsidRDefault="00D95E1E" w:rsidP="00F85498">
            <w:pPr>
              <w:pStyle w:val="Title"/>
              <w:jc w:val="both"/>
            </w:pPr>
            <w:r>
              <w:t>Public Interest Disclosure (PID)</w:t>
            </w:r>
            <w:r w:rsidR="00B91239">
              <w:t xml:space="preserve"> Procedure</w:t>
            </w:r>
          </w:p>
          <w:p w14:paraId="642E71AD" w14:textId="01A0C89D" w:rsidR="005C318D" w:rsidRPr="002805B7" w:rsidRDefault="00D95E1E" w:rsidP="00F85498">
            <w:pPr>
              <w:pStyle w:val="DateLine"/>
              <w:jc w:val="both"/>
              <w:rPr>
                <w:color w:val="FFFFFF" w:themeColor="background1"/>
              </w:rPr>
            </w:pPr>
            <w:r>
              <w:rPr>
                <w:color w:val="FFFFFF" w:themeColor="background1"/>
              </w:rPr>
              <w:t>Governance</w:t>
            </w:r>
          </w:p>
          <w:p w14:paraId="565A6AC8" w14:textId="77777777" w:rsidR="005C318D" w:rsidRDefault="005C318D" w:rsidP="00F85498">
            <w:pPr>
              <w:pStyle w:val="Title"/>
              <w:jc w:val="both"/>
            </w:pPr>
          </w:p>
          <w:p w14:paraId="5759A3AC" w14:textId="260985B0" w:rsidR="005C318D" w:rsidRPr="000C7C5B" w:rsidRDefault="005C318D" w:rsidP="00F85498">
            <w:pPr>
              <w:pStyle w:val="Title"/>
              <w:jc w:val="both"/>
            </w:pPr>
          </w:p>
        </w:tc>
      </w:tr>
      <w:tr w:rsidR="005B1F0F" w:rsidRPr="000C7C5B" w14:paraId="4E12CDE8" w14:textId="77777777" w:rsidTr="005C318D">
        <w:trPr>
          <w:trHeight w:hRule="exact" w:val="713"/>
        </w:trPr>
        <w:tc>
          <w:tcPr>
            <w:tcW w:w="6804" w:type="dxa"/>
            <w:shd w:val="clear" w:color="auto" w:fill="auto"/>
            <w:tcMar>
              <w:left w:w="0" w:type="dxa"/>
            </w:tcMar>
          </w:tcPr>
          <w:p w14:paraId="2DFF8EEA" w14:textId="6C95A1B6" w:rsidR="00C9754D" w:rsidRPr="00C9754D" w:rsidRDefault="00D95E1E" w:rsidP="00F85498">
            <w:pPr>
              <w:spacing w:line="600" w:lineRule="exact"/>
              <w:ind w:left="-17"/>
              <w:contextualSpacing/>
              <w:jc w:val="both"/>
              <w:rPr>
                <w:rFonts w:eastAsia="Calibri" w:cs="Times New Roman"/>
                <w:color w:val="538135" w:themeColor="accent6" w:themeShade="BF"/>
              </w:rPr>
            </w:pPr>
            <w:r>
              <w:rPr>
                <w:rFonts w:eastAsia="Calibri" w:cs="Times New Roman"/>
                <w:color w:val="538135" w:themeColor="accent6" w:themeShade="BF"/>
              </w:rPr>
              <w:t>June 2022</w:t>
            </w:r>
          </w:p>
          <w:p w14:paraId="14D86E79" w14:textId="13A7CCF0" w:rsidR="00B957F5" w:rsidRPr="000C7C5B" w:rsidRDefault="00B957F5" w:rsidP="00F85498">
            <w:pPr>
              <w:pStyle w:val="DateLine"/>
              <w:jc w:val="both"/>
            </w:pPr>
          </w:p>
        </w:tc>
      </w:tr>
    </w:tbl>
    <w:p w14:paraId="74CF9B53" w14:textId="2B30FC43" w:rsidR="001F79F6" w:rsidRDefault="001F79F6" w:rsidP="00F85498">
      <w:pPr>
        <w:pStyle w:val="Heading1"/>
        <w:jc w:val="both"/>
      </w:pPr>
      <w:r>
        <w:t>Objectives</w:t>
      </w:r>
    </w:p>
    <w:p w14:paraId="0D717D3D" w14:textId="61017123" w:rsidR="001F79F6" w:rsidRDefault="001F79F6" w:rsidP="001F79F6">
      <w:pPr>
        <w:pStyle w:val="BodyText"/>
        <w:spacing w:before="278" w:line="249" w:lineRule="auto"/>
        <w:ind w:right="241"/>
        <w:jc w:val="both"/>
      </w:pPr>
      <w:r>
        <w:t>The</w:t>
      </w:r>
      <w:r>
        <w:rPr>
          <w:spacing w:val="-4"/>
        </w:rPr>
        <w:t xml:space="preserve"> </w:t>
      </w:r>
      <w:r>
        <w:t>purpose</w:t>
      </w:r>
      <w:r>
        <w:rPr>
          <w:spacing w:val="-3"/>
        </w:rPr>
        <w:t xml:space="preserve"> </w:t>
      </w:r>
      <w:r>
        <w:t>of</w:t>
      </w:r>
      <w:r>
        <w:rPr>
          <w:spacing w:val="-5"/>
        </w:rPr>
        <w:t xml:space="preserve"> </w:t>
      </w:r>
      <w:r>
        <w:t>this</w:t>
      </w:r>
      <w:r>
        <w:rPr>
          <w:spacing w:val="-2"/>
        </w:rPr>
        <w:t xml:space="preserve"> </w:t>
      </w:r>
      <w:r>
        <w:t>procedure</w:t>
      </w:r>
      <w:r>
        <w:rPr>
          <w:spacing w:val="-6"/>
        </w:rPr>
        <w:t xml:space="preserve"> </w:t>
      </w:r>
      <w:r>
        <w:t>is</w:t>
      </w:r>
      <w:r>
        <w:rPr>
          <w:spacing w:val="-6"/>
        </w:rPr>
        <w:t xml:space="preserve"> </w:t>
      </w:r>
      <w:r>
        <w:t>to</w:t>
      </w:r>
      <w:r>
        <w:rPr>
          <w:spacing w:val="-6"/>
        </w:rPr>
        <w:t xml:space="preserve"> </w:t>
      </w:r>
      <w:r>
        <w:t>ensure</w:t>
      </w:r>
      <w:r>
        <w:rPr>
          <w:spacing w:val="-6"/>
        </w:rPr>
        <w:t xml:space="preserve"> </w:t>
      </w:r>
      <w:r>
        <w:t>compliance</w:t>
      </w:r>
      <w:r>
        <w:rPr>
          <w:spacing w:val="-3"/>
        </w:rPr>
        <w:t xml:space="preserve"> </w:t>
      </w:r>
      <w:r>
        <w:t>by</w:t>
      </w:r>
      <w:r>
        <w:rPr>
          <w:spacing w:val="-2"/>
        </w:rPr>
        <w:t xml:space="preserve"> </w:t>
      </w:r>
      <w:r>
        <w:t>the</w:t>
      </w:r>
      <w:r>
        <w:rPr>
          <w:spacing w:val="-7"/>
        </w:rPr>
        <w:t xml:space="preserve"> </w:t>
      </w:r>
      <w:r>
        <w:t>Shire</w:t>
      </w:r>
      <w:r>
        <w:rPr>
          <w:spacing w:val="-6"/>
        </w:rPr>
        <w:t xml:space="preserve"> </w:t>
      </w:r>
      <w:r>
        <w:t>of</w:t>
      </w:r>
      <w:r>
        <w:rPr>
          <w:spacing w:val="-3"/>
        </w:rPr>
        <w:t xml:space="preserve"> </w:t>
      </w:r>
      <w:r>
        <w:t>Augusta</w:t>
      </w:r>
      <w:r>
        <w:rPr>
          <w:spacing w:val="-9"/>
        </w:rPr>
        <w:t xml:space="preserve"> </w:t>
      </w:r>
      <w:r>
        <w:t>Margaret</w:t>
      </w:r>
      <w:r>
        <w:rPr>
          <w:spacing w:val="-4"/>
        </w:rPr>
        <w:t xml:space="preserve"> </w:t>
      </w:r>
      <w:r>
        <w:t xml:space="preserve">River (the Shire) with its obligations under the </w:t>
      </w:r>
      <w:r>
        <w:rPr>
          <w:i/>
        </w:rPr>
        <w:t xml:space="preserve">Public Interest Disclosure Act 2003 </w:t>
      </w:r>
      <w:r>
        <w:t>(PID Act) including:</w:t>
      </w:r>
    </w:p>
    <w:p w14:paraId="55DE4A73" w14:textId="77777777" w:rsidR="001F79F6" w:rsidRDefault="001F79F6" w:rsidP="001F79F6">
      <w:pPr>
        <w:pStyle w:val="BodyText"/>
        <w:spacing w:before="1"/>
        <w:rPr>
          <w:sz w:val="23"/>
        </w:rPr>
      </w:pPr>
    </w:p>
    <w:p w14:paraId="4BDB0DF2" w14:textId="77777777" w:rsidR="001F79F6" w:rsidRDefault="001F79F6" w:rsidP="001F79F6">
      <w:pPr>
        <w:pStyle w:val="ListParagraph"/>
        <w:widowControl w:val="0"/>
        <w:numPr>
          <w:ilvl w:val="0"/>
          <w:numId w:val="24"/>
        </w:numPr>
        <w:tabs>
          <w:tab w:val="left" w:pos="962"/>
          <w:tab w:val="left" w:pos="963"/>
        </w:tabs>
        <w:autoSpaceDE w:val="0"/>
        <w:autoSpaceDN w:val="0"/>
        <w:spacing w:after="0" w:line="271" w:lineRule="auto"/>
        <w:ind w:right="240"/>
        <w:contextualSpacing w:val="0"/>
      </w:pPr>
      <w:r>
        <w:t>Disclosure</w:t>
      </w:r>
      <w:r>
        <w:rPr>
          <w:spacing w:val="-5"/>
        </w:rPr>
        <w:t xml:space="preserve"> </w:t>
      </w:r>
      <w:r>
        <w:t>of</w:t>
      </w:r>
      <w:r>
        <w:rPr>
          <w:spacing w:val="-4"/>
        </w:rPr>
        <w:t xml:space="preserve"> </w:t>
      </w:r>
      <w:r>
        <w:t>public</w:t>
      </w:r>
      <w:r>
        <w:rPr>
          <w:spacing w:val="-3"/>
        </w:rPr>
        <w:t xml:space="preserve"> </w:t>
      </w:r>
      <w:r>
        <w:t>interest</w:t>
      </w:r>
      <w:r>
        <w:rPr>
          <w:spacing w:val="-1"/>
        </w:rPr>
        <w:t xml:space="preserve"> </w:t>
      </w:r>
      <w:r>
        <w:t>information</w:t>
      </w:r>
      <w:r>
        <w:rPr>
          <w:spacing w:val="-3"/>
        </w:rPr>
        <w:t xml:space="preserve"> </w:t>
      </w:r>
      <w:r>
        <w:t>shall</w:t>
      </w:r>
      <w:r>
        <w:rPr>
          <w:spacing w:val="-3"/>
        </w:rPr>
        <w:t xml:space="preserve"> </w:t>
      </w:r>
      <w:r>
        <w:t>be</w:t>
      </w:r>
      <w:r>
        <w:rPr>
          <w:spacing w:val="-3"/>
        </w:rPr>
        <w:t xml:space="preserve"> </w:t>
      </w:r>
      <w:r>
        <w:t>made</w:t>
      </w:r>
      <w:r>
        <w:rPr>
          <w:spacing w:val="-3"/>
        </w:rPr>
        <w:t xml:space="preserve"> </w:t>
      </w:r>
      <w:r>
        <w:t>to</w:t>
      </w:r>
      <w:r>
        <w:rPr>
          <w:spacing w:val="-5"/>
        </w:rPr>
        <w:t xml:space="preserve"> </w:t>
      </w:r>
      <w:r>
        <w:t>the</w:t>
      </w:r>
      <w:r>
        <w:rPr>
          <w:spacing w:val="-6"/>
        </w:rPr>
        <w:t xml:space="preserve"> </w:t>
      </w:r>
      <w:r>
        <w:t>Public</w:t>
      </w:r>
      <w:r>
        <w:rPr>
          <w:spacing w:val="-5"/>
        </w:rPr>
        <w:t xml:space="preserve"> </w:t>
      </w:r>
      <w:r>
        <w:t>Interest</w:t>
      </w:r>
      <w:r>
        <w:rPr>
          <w:spacing w:val="-3"/>
        </w:rPr>
        <w:t xml:space="preserve"> </w:t>
      </w:r>
      <w:r>
        <w:t>Disclosure Officer (PID Officer);</w:t>
      </w:r>
    </w:p>
    <w:p w14:paraId="2DB2D388" w14:textId="77777777" w:rsidR="001F79F6" w:rsidRDefault="001F79F6" w:rsidP="001F79F6">
      <w:pPr>
        <w:pStyle w:val="ListParagraph"/>
        <w:widowControl w:val="0"/>
        <w:numPr>
          <w:ilvl w:val="0"/>
          <w:numId w:val="24"/>
        </w:numPr>
        <w:tabs>
          <w:tab w:val="left" w:pos="962"/>
          <w:tab w:val="left" w:pos="963"/>
        </w:tabs>
        <w:autoSpaceDE w:val="0"/>
        <w:autoSpaceDN w:val="0"/>
        <w:spacing w:before="2" w:after="0" w:line="276" w:lineRule="auto"/>
        <w:ind w:right="242"/>
        <w:contextualSpacing w:val="0"/>
      </w:pPr>
      <w:r>
        <w:t>The</w:t>
      </w:r>
      <w:r>
        <w:rPr>
          <w:spacing w:val="-3"/>
        </w:rPr>
        <w:t xml:space="preserve"> </w:t>
      </w:r>
      <w:r>
        <w:t>PID</w:t>
      </w:r>
      <w:r>
        <w:rPr>
          <w:spacing w:val="-4"/>
        </w:rPr>
        <w:t xml:space="preserve"> </w:t>
      </w:r>
      <w:r>
        <w:t>Officer</w:t>
      </w:r>
      <w:r>
        <w:rPr>
          <w:spacing w:val="-3"/>
        </w:rPr>
        <w:t xml:space="preserve"> </w:t>
      </w:r>
      <w:r>
        <w:t>shall</w:t>
      </w:r>
      <w:r>
        <w:rPr>
          <w:spacing w:val="-4"/>
        </w:rPr>
        <w:t xml:space="preserve"> </w:t>
      </w:r>
      <w:r>
        <w:t>investigate</w:t>
      </w:r>
      <w:r>
        <w:rPr>
          <w:spacing w:val="-4"/>
        </w:rPr>
        <w:t xml:space="preserve"> </w:t>
      </w:r>
      <w:r>
        <w:t>the</w:t>
      </w:r>
      <w:r>
        <w:rPr>
          <w:spacing w:val="-4"/>
        </w:rPr>
        <w:t xml:space="preserve"> </w:t>
      </w:r>
      <w:r>
        <w:t>information</w:t>
      </w:r>
      <w:r>
        <w:rPr>
          <w:spacing w:val="-5"/>
        </w:rPr>
        <w:t xml:space="preserve"> </w:t>
      </w:r>
      <w:r>
        <w:t>disclosed, or</w:t>
      </w:r>
      <w:r>
        <w:rPr>
          <w:spacing w:val="-3"/>
        </w:rPr>
        <w:t xml:space="preserve"> </w:t>
      </w:r>
      <w:r>
        <w:t>cause</w:t>
      </w:r>
      <w:r>
        <w:rPr>
          <w:spacing w:val="-4"/>
        </w:rPr>
        <w:t xml:space="preserve"> </w:t>
      </w:r>
      <w:r>
        <w:t>that</w:t>
      </w:r>
      <w:r>
        <w:rPr>
          <w:spacing w:val="-4"/>
        </w:rPr>
        <w:t xml:space="preserve"> </w:t>
      </w:r>
      <w:r>
        <w:t>information</w:t>
      </w:r>
      <w:r>
        <w:rPr>
          <w:spacing w:val="-8"/>
        </w:rPr>
        <w:t xml:space="preserve"> </w:t>
      </w:r>
      <w:r>
        <w:t>to be investigated;</w:t>
      </w:r>
    </w:p>
    <w:p w14:paraId="4069E159" w14:textId="77777777" w:rsidR="001F79F6" w:rsidRDefault="001F79F6" w:rsidP="001F79F6">
      <w:pPr>
        <w:pStyle w:val="ListParagraph"/>
        <w:widowControl w:val="0"/>
        <w:numPr>
          <w:ilvl w:val="0"/>
          <w:numId w:val="24"/>
        </w:numPr>
        <w:tabs>
          <w:tab w:val="left" w:pos="962"/>
          <w:tab w:val="left" w:pos="963"/>
        </w:tabs>
        <w:autoSpaceDE w:val="0"/>
        <w:autoSpaceDN w:val="0"/>
        <w:spacing w:after="0" w:line="264" w:lineRule="exact"/>
        <w:contextualSpacing w:val="0"/>
      </w:pPr>
      <w:r>
        <w:t>The</w:t>
      </w:r>
      <w:r>
        <w:rPr>
          <w:spacing w:val="-6"/>
        </w:rPr>
        <w:t xml:space="preserve"> </w:t>
      </w:r>
      <w:r>
        <w:t>PID</w:t>
      </w:r>
      <w:r>
        <w:rPr>
          <w:spacing w:val="-11"/>
        </w:rPr>
        <w:t xml:space="preserve"> </w:t>
      </w:r>
      <w:r>
        <w:t>Officer</w:t>
      </w:r>
      <w:r>
        <w:rPr>
          <w:spacing w:val="-12"/>
        </w:rPr>
        <w:t xml:space="preserve"> </w:t>
      </w:r>
      <w:r>
        <w:t>may</w:t>
      </w:r>
      <w:r>
        <w:rPr>
          <w:spacing w:val="-12"/>
        </w:rPr>
        <w:t xml:space="preserve"> </w:t>
      </w:r>
      <w:r>
        <w:t>take</w:t>
      </w:r>
      <w:r>
        <w:rPr>
          <w:spacing w:val="-8"/>
        </w:rPr>
        <w:t xml:space="preserve"> </w:t>
      </w:r>
      <w:r>
        <w:t>action</w:t>
      </w:r>
      <w:r>
        <w:rPr>
          <w:spacing w:val="-12"/>
        </w:rPr>
        <w:t xml:space="preserve"> </w:t>
      </w:r>
      <w:r>
        <w:t>following</w:t>
      </w:r>
      <w:r>
        <w:rPr>
          <w:spacing w:val="-11"/>
        </w:rPr>
        <w:t xml:space="preserve"> </w:t>
      </w:r>
      <w:r>
        <w:t>the</w:t>
      </w:r>
      <w:r>
        <w:rPr>
          <w:spacing w:val="-10"/>
        </w:rPr>
        <w:t xml:space="preserve"> </w:t>
      </w:r>
      <w:r>
        <w:t>completion</w:t>
      </w:r>
      <w:r>
        <w:rPr>
          <w:spacing w:val="-10"/>
        </w:rPr>
        <w:t xml:space="preserve"> </w:t>
      </w:r>
      <w:r>
        <w:t>of</w:t>
      </w:r>
      <w:r>
        <w:rPr>
          <w:spacing w:val="-9"/>
        </w:rPr>
        <w:t xml:space="preserve"> </w:t>
      </w:r>
      <w:r>
        <w:t>the</w:t>
      </w:r>
      <w:r>
        <w:rPr>
          <w:spacing w:val="-11"/>
        </w:rPr>
        <w:t xml:space="preserve"> </w:t>
      </w:r>
      <w:r>
        <w:rPr>
          <w:spacing w:val="-2"/>
        </w:rPr>
        <w:t>investigation;</w:t>
      </w:r>
    </w:p>
    <w:p w14:paraId="38F6DE1C" w14:textId="77777777" w:rsidR="001F79F6" w:rsidRDefault="001F79F6" w:rsidP="001F79F6">
      <w:pPr>
        <w:pStyle w:val="ListParagraph"/>
        <w:widowControl w:val="0"/>
        <w:numPr>
          <w:ilvl w:val="0"/>
          <w:numId w:val="24"/>
        </w:numPr>
        <w:tabs>
          <w:tab w:val="left" w:pos="962"/>
          <w:tab w:val="left" w:pos="963"/>
        </w:tabs>
        <w:autoSpaceDE w:val="0"/>
        <w:autoSpaceDN w:val="0"/>
        <w:spacing w:before="35" w:after="0" w:line="276" w:lineRule="auto"/>
        <w:ind w:right="238"/>
        <w:contextualSpacing w:val="0"/>
      </w:pPr>
      <w:r>
        <w:t>The</w:t>
      </w:r>
      <w:r>
        <w:rPr>
          <w:spacing w:val="72"/>
        </w:rPr>
        <w:t xml:space="preserve"> </w:t>
      </w:r>
      <w:r>
        <w:t>PID</w:t>
      </w:r>
      <w:r>
        <w:rPr>
          <w:spacing w:val="66"/>
        </w:rPr>
        <w:t xml:space="preserve"> </w:t>
      </w:r>
      <w:r>
        <w:t>Officer</w:t>
      </w:r>
      <w:r>
        <w:rPr>
          <w:spacing w:val="68"/>
        </w:rPr>
        <w:t xml:space="preserve"> </w:t>
      </w:r>
      <w:r>
        <w:t>shall</w:t>
      </w:r>
      <w:r>
        <w:rPr>
          <w:spacing w:val="66"/>
        </w:rPr>
        <w:t xml:space="preserve"> </w:t>
      </w:r>
      <w:r>
        <w:t>report</w:t>
      </w:r>
      <w:r>
        <w:rPr>
          <w:spacing w:val="70"/>
        </w:rPr>
        <w:t xml:space="preserve"> </w:t>
      </w:r>
      <w:r>
        <w:t>to</w:t>
      </w:r>
      <w:r>
        <w:rPr>
          <w:spacing w:val="70"/>
        </w:rPr>
        <w:t xml:space="preserve"> </w:t>
      </w:r>
      <w:r>
        <w:t>the</w:t>
      </w:r>
      <w:r>
        <w:rPr>
          <w:spacing w:val="68"/>
        </w:rPr>
        <w:t xml:space="preserve"> </w:t>
      </w:r>
      <w:r>
        <w:t>discloser</w:t>
      </w:r>
      <w:r>
        <w:rPr>
          <w:spacing w:val="69"/>
        </w:rPr>
        <w:t xml:space="preserve"> </w:t>
      </w:r>
      <w:r>
        <w:t>the</w:t>
      </w:r>
      <w:r>
        <w:rPr>
          <w:spacing w:val="64"/>
        </w:rPr>
        <w:t xml:space="preserve"> </w:t>
      </w:r>
      <w:r>
        <w:t>progress</w:t>
      </w:r>
      <w:r>
        <w:rPr>
          <w:spacing w:val="68"/>
        </w:rPr>
        <w:t xml:space="preserve"> </w:t>
      </w:r>
      <w:r>
        <w:t>and</w:t>
      </w:r>
      <w:r>
        <w:rPr>
          <w:spacing w:val="69"/>
        </w:rPr>
        <w:t xml:space="preserve"> </w:t>
      </w:r>
      <w:r>
        <w:t>outcome</w:t>
      </w:r>
      <w:r>
        <w:rPr>
          <w:spacing w:val="71"/>
        </w:rPr>
        <w:t xml:space="preserve"> </w:t>
      </w:r>
      <w:r>
        <w:t>of</w:t>
      </w:r>
      <w:r>
        <w:rPr>
          <w:spacing w:val="70"/>
        </w:rPr>
        <w:t xml:space="preserve"> </w:t>
      </w:r>
      <w:r>
        <w:t>that investigation and the action taken as a consequence;</w:t>
      </w:r>
    </w:p>
    <w:p w14:paraId="71B3BCA6" w14:textId="77777777" w:rsidR="001F79F6" w:rsidRDefault="001F79F6" w:rsidP="001F79F6">
      <w:pPr>
        <w:pStyle w:val="ListParagraph"/>
        <w:widowControl w:val="0"/>
        <w:numPr>
          <w:ilvl w:val="0"/>
          <w:numId w:val="24"/>
        </w:numPr>
        <w:tabs>
          <w:tab w:val="left" w:pos="962"/>
          <w:tab w:val="left" w:pos="963"/>
        </w:tabs>
        <w:autoSpaceDE w:val="0"/>
        <w:autoSpaceDN w:val="0"/>
        <w:spacing w:after="0" w:line="271" w:lineRule="auto"/>
        <w:ind w:right="243" w:hanging="358"/>
        <w:contextualSpacing w:val="0"/>
      </w:pPr>
      <w:r>
        <w:t>The confidentiality</w:t>
      </w:r>
      <w:r>
        <w:rPr>
          <w:spacing w:val="-1"/>
        </w:rPr>
        <w:t xml:space="preserve"> </w:t>
      </w:r>
      <w:r>
        <w:t>of the</w:t>
      </w:r>
      <w:r>
        <w:rPr>
          <w:spacing w:val="-2"/>
        </w:rPr>
        <w:t xml:space="preserve"> </w:t>
      </w:r>
      <w:r>
        <w:t>discloser,</w:t>
      </w:r>
      <w:r>
        <w:rPr>
          <w:spacing w:val="-3"/>
        </w:rPr>
        <w:t xml:space="preserve"> </w:t>
      </w:r>
      <w:r>
        <w:t>and</w:t>
      </w:r>
      <w:r>
        <w:rPr>
          <w:spacing w:val="-1"/>
        </w:rPr>
        <w:t xml:space="preserve"> </w:t>
      </w:r>
      <w:r>
        <w:t>any</w:t>
      </w:r>
      <w:r>
        <w:rPr>
          <w:spacing w:val="-1"/>
        </w:rPr>
        <w:t xml:space="preserve"> </w:t>
      </w:r>
      <w:r>
        <w:t>person who</w:t>
      </w:r>
      <w:r>
        <w:rPr>
          <w:spacing w:val="-4"/>
        </w:rPr>
        <w:t xml:space="preserve"> </w:t>
      </w:r>
      <w:r>
        <w:t>may be</w:t>
      </w:r>
      <w:r>
        <w:rPr>
          <w:spacing w:val="-1"/>
        </w:rPr>
        <w:t xml:space="preserve"> </w:t>
      </w:r>
      <w:r>
        <w:t>the</w:t>
      </w:r>
      <w:r>
        <w:rPr>
          <w:spacing w:val="-5"/>
        </w:rPr>
        <w:t xml:space="preserve"> </w:t>
      </w:r>
      <w:r>
        <w:t>subject of a</w:t>
      </w:r>
      <w:r>
        <w:rPr>
          <w:spacing w:val="-2"/>
        </w:rPr>
        <w:t xml:space="preserve"> </w:t>
      </w:r>
      <w:r>
        <w:t>public interest disclosure, shall be maintained at all times;</w:t>
      </w:r>
    </w:p>
    <w:p w14:paraId="17591C66" w14:textId="77777777" w:rsidR="001F79F6" w:rsidRDefault="001F79F6" w:rsidP="001F79F6">
      <w:pPr>
        <w:pStyle w:val="ListParagraph"/>
        <w:widowControl w:val="0"/>
        <w:numPr>
          <w:ilvl w:val="0"/>
          <w:numId w:val="24"/>
        </w:numPr>
        <w:tabs>
          <w:tab w:val="left" w:pos="962"/>
          <w:tab w:val="left" w:pos="963"/>
        </w:tabs>
        <w:autoSpaceDE w:val="0"/>
        <w:autoSpaceDN w:val="0"/>
        <w:spacing w:after="0" w:line="240" w:lineRule="auto"/>
        <w:ind w:hanging="359"/>
        <w:contextualSpacing w:val="0"/>
      </w:pPr>
      <w:r>
        <w:t>Records</w:t>
      </w:r>
      <w:r>
        <w:rPr>
          <w:spacing w:val="-15"/>
        </w:rPr>
        <w:t xml:space="preserve"> </w:t>
      </w:r>
      <w:r>
        <w:t>of</w:t>
      </w:r>
      <w:r>
        <w:rPr>
          <w:spacing w:val="-15"/>
        </w:rPr>
        <w:t xml:space="preserve"> </w:t>
      </w:r>
      <w:r>
        <w:t>public</w:t>
      </w:r>
      <w:r>
        <w:rPr>
          <w:spacing w:val="-15"/>
        </w:rPr>
        <w:t xml:space="preserve"> </w:t>
      </w:r>
      <w:r>
        <w:t>interest</w:t>
      </w:r>
      <w:r>
        <w:rPr>
          <w:spacing w:val="-12"/>
        </w:rPr>
        <w:t xml:space="preserve"> </w:t>
      </w:r>
      <w:r>
        <w:t>disclosures</w:t>
      </w:r>
      <w:r>
        <w:rPr>
          <w:spacing w:val="-12"/>
        </w:rPr>
        <w:t xml:space="preserve"> </w:t>
      </w:r>
      <w:r>
        <w:t>shall</w:t>
      </w:r>
      <w:r>
        <w:rPr>
          <w:spacing w:val="-14"/>
        </w:rPr>
        <w:t xml:space="preserve"> </w:t>
      </w:r>
      <w:r>
        <w:t>be</w:t>
      </w:r>
      <w:r>
        <w:rPr>
          <w:spacing w:val="-15"/>
        </w:rPr>
        <w:t xml:space="preserve"> </w:t>
      </w:r>
      <w:r>
        <w:t>maintained;</w:t>
      </w:r>
      <w:r>
        <w:rPr>
          <w:spacing w:val="-11"/>
        </w:rPr>
        <w:t xml:space="preserve"> </w:t>
      </w:r>
      <w:r>
        <w:rPr>
          <w:spacing w:val="-5"/>
        </w:rPr>
        <w:t>and</w:t>
      </w:r>
    </w:p>
    <w:p w14:paraId="1C8C2B31" w14:textId="3B11C711" w:rsidR="001F79F6" w:rsidRDefault="001F79F6" w:rsidP="001F79F6">
      <w:pPr>
        <w:pStyle w:val="ListParagraph"/>
        <w:widowControl w:val="0"/>
        <w:numPr>
          <w:ilvl w:val="0"/>
          <w:numId w:val="24"/>
        </w:numPr>
        <w:tabs>
          <w:tab w:val="left" w:pos="962"/>
          <w:tab w:val="left" w:pos="963"/>
        </w:tabs>
        <w:autoSpaceDE w:val="0"/>
        <w:autoSpaceDN w:val="0"/>
        <w:spacing w:before="40" w:after="0" w:line="240" w:lineRule="auto"/>
        <w:ind w:hanging="359"/>
        <w:contextualSpacing w:val="0"/>
      </w:pPr>
      <w:r>
        <w:t>Reporting</w:t>
      </w:r>
      <w:r>
        <w:rPr>
          <w:spacing w:val="-14"/>
        </w:rPr>
        <w:t xml:space="preserve"> </w:t>
      </w:r>
      <w:r>
        <w:t>obligations</w:t>
      </w:r>
      <w:r>
        <w:rPr>
          <w:spacing w:val="-15"/>
        </w:rPr>
        <w:t xml:space="preserve"> </w:t>
      </w:r>
      <w:r>
        <w:t>to</w:t>
      </w:r>
      <w:r>
        <w:rPr>
          <w:spacing w:val="-15"/>
        </w:rPr>
        <w:t xml:space="preserve"> </w:t>
      </w:r>
      <w:r>
        <w:t>the</w:t>
      </w:r>
      <w:r>
        <w:rPr>
          <w:spacing w:val="-14"/>
        </w:rPr>
        <w:t xml:space="preserve"> </w:t>
      </w:r>
      <w:r>
        <w:t>Public</w:t>
      </w:r>
      <w:r>
        <w:rPr>
          <w:spacing w:val="-11"/>
        </w:rPr>
        <w:t xml:space="preserve"> </w:t>
      </w:r>
      <w:r>
        <w:t>Sector</w:t>
      </w:r>
      <w:r>
        <w:rPr>
          <w:spacing w:val="-15"/>
        </w:rPr>
        <w:t xml:space="preserve"> </w:t>
      </w:r>
      <w:r>
        <w:t>Commission</w:t>
      </w:r>
      <w:r>
        <w:rPr>
          <w:spacing w:val="-13"/>
        </w:rPr>
        <w:t xml:space="preserve"> </w:t>
      </w:r>
      <w:r>
        <w:t>and</w:t>
      </w:r>
      <w:r>
        <w:rPr>
          <w:spacing w:val="-13"/>
        </w:rPr>
        <w:t xml:space="preserve"> </w:t>
      </w:r>
      <w:r>
        <w:t>other</w:t>
      </w:r>
      <w:r>
        <w:rPr>
          <w:spacing w:val="-14"/>
        </w:rPr>
        <w:t xml:space="preserve"> </w:t>
      </w:r>
      <w:r>
        <w:t>bodies</w:t>
      </w:r>
      <w:r>
        <w:rPr>
          <w:spacing w:val="-11"/>
        </w:rPr>
        <w:t xml:space="preserve"> </w:t>
      </w:r>
      <w:r>
        <w:t>complied</w:t>
      </w:r>
      <w:r>
        <w:rPr>
          <w:spacing w:val="-14"/>
        </w:rPr>
        <w:t xml:space="preserve"> </w:t>
      </w:r>
      <w:r>
        <w:rPr>
          <w:spacing w:val="-2"/>
        </w:rPr>
        <w:t>with.</w:t>
      </w:r>
    </w:p>
    <w:p w14:paraId="7E8835E0" w14:textId="77777777" w:rsidR="001F79F6" w:rsidRDefault="001F79F6" w:rsidP="00F85498">
      <w:pPr>
        <w:pStyle w:val="Heading1"/>
        <w:jc w:val="both"/>
      </w:pPr>
    </w:p>
    <w:p w14:paraId="58CD4375" w14:textId="303F1152" w:rsidR="000B4043" w:rsidRPr="002805B7" w:rsidRDefault="000B4043" w:rsidP="00F85498">
      <w:pPr>
        <w:pStyle w:val="Heading1"/>
        <w:jc w:val="both"/>
      </w:pPr>
      <w:r w:rsidRPr="002805B7">
        <w:t>Procedure</w:t>
      </w:r>
    </w:p>
    <w:p w14:paraId="5CC6DAD4" w14:textId="77777777" w:rsidR="00F85498" w:rsidRDefault="00F85498" w:rsidP="00F85498">
      <w:pPr>
        <w:pStyle w:val="Heading1"/>
        <w:jc w:val="both"/>
      </w:pPr>
      <w:bookmarkStart w:id="0" w:name="_Toc508616406"/>
      <w:r>
        <w:t>A. Organisational commitment for reporting public interest information</w:t>
      </w:r>
      <w:bookmarkEnd w:id="0"/>
    </w:p>
    <w:p w14:paraId="53C5DA85" w14:textId="2FB352A1" w:rsidR="00F85498" w:rsidRDefault="00F85498" w:rsidP="00F85498">
      <w:pPr>
        <w:jc w:val="both"/>
      </w:pPr>
      <w:r>
        <w:t xml:space="preserve">The </w:t>
      </w:r>
      <w:r w:rsidR="00437BF8">
        <w:t xml:space="preserve">Shire of Augusta Margaret River (Shire) </w:t>
      </w:r>
      <w:r>
        <w:t xml:space="preserve">does not tolerate corrupt or other improper conduct. </w:t>
      </w:r>
    </w:p>
    <w:p w14:paraId="685D028C" w14:textId="7DA51D20" w:rsidR="00F85498" w:rsidRDefault="00F85498" w:rsidP="00F85498">
      <w:pPr>
        <w:jc w:val="both"/>
      </w:pPr>
      <w:r>
        <w:t xml:space="preserve">The </w:t>
      </w:r>
      <w:r w:rsidR="00437BF8">
        <w:t>Shire</w:t>
      </w:r>
      <w:r>
        <w:t xml:space="preserve"> is committed to the aims and objectives of the </w:t>
      </w:r>
      <w:r w:rsidRPr="00474F4D">
        <w:rPr>
          <w:i/>
        </w:rPr>
        <w:t>Public Interest Disclosure Act 2003</w:t>
      </w:r>
      <w:r>
        <w:t xml:space="preserve"> (PID Act). The PID Act recognises the value and importance of reporting as a means to identify and address wrongdoing.</w:t>
      </w:r>
    </w:p>
    <w:p w14:paraId="533793B8" w14:textId="77777777" w:rsidR="00F85498" w:rsidRDefault="00F85498" w:rsidP="00F85498">
      <w:pPr>
        <w:jc w:val="both"/>
      </w:pPr>
      <w:r>
        <w:t xml:space="preserve">We strongly support disclosures being made by employees about corrupt or other improper conduct. We also strongly support contractors and members of the community making disclosures about corrupt or improper conduct. </w:t>
      </w:r>
    </w:p>
    <w:p w14:paraId="162AD20A" w14:textId="7774C10E" w:rsidR="00F85498" w:rsidRDefault="00F85498" w:rsidP="00F85498">
      <w:pPr>
        <w:jc w:val="both"/>
      </w:pPr>
      <w:r>
        <w:t xml:space="preserve">The </w:t>
      </w:r>
      <w:r w:rsidR="00437BF8">
        <w:t>Shire</w:t>
      </w:r>
      <w:r>
        <w:t xml:space="preserve"> does not tolerate any of its employees, contractors or subcontractors taking reprisal action against anyone who makes or proposes to make a public interest disclosure.</w:t>
      </w:r>
    </w:p>
    <w:p w14:paraId="03C87518" w14:textId="228A6F82" w:rsidR="00F85498" w:rsidRDefault="00F85498" w:rsidP="00F85498">
      <w:pPr>
        <w:jc w:val="both"/>
      </w:pPr>
      <w:r>
        <w:t xml:space="preserve">The </w:t>
      </w:r>
      <w:r w:rsidR="00437BF8">
        <w:t>Shire</w:t>
      </w:r>
      <w:r>
        <w:t xml:space="preserve"> will take all reasonable steps to protect employees from any detrimental action in reprisal for the making of a public interest disclosure.</w:t>
      </w:r>
    </w:p>
    <w:p w14:paraId="3C40DAAF" w14:textId="67F01C94" w:rsidR="00F85498" w:rsidRDefault="00F85498" w:rsidP="00F85498">
      <w:pPr>
        <w:jc w:val="both"/>
      </w:pPr>
      <w:r>
        <w:t xml:space="preserve">The commitment to effectively manage public interest disclosures extends to a proper authority of </w:t>
      </w:r>
      <w:r w:rsidR="00437BF8">
        <w:t>the Shire</w:t>
      </w:r>
      <w:r>
        <w:t xml:space="preserve">. The persons responsible for receiving disclosures of public interest information </w:t>
      </w:r>
      <w:r>
        <w:lastRenderedPageBreak/>
        <w:t xml:space="preserve">designated under s. 23(1)(a) of the PID Act will abide by the </w:t>
      </w:r>
      <w:hyperlink r:id="rId10" w:history="1">
        <w:r w:rsidRPr="00474F4D">
          <w:rPr>
            <w:rStyle w:val="Hyperlink"/>
            <w:i/>
          </w:rPr>
          <w:t>PID Code of conduct and integrity</w:t>
        </w:r>
      </w:hyperlink>
      <w:r>
        <w:t xml:space="preserve"> in performing their duties.</w:t>
      </w:r>
    </w:p>
    <w:p w14:paraId="1F12318F" w14:textId="43C92FCE" w:rsidR="00F85498" w:rsidRDefault="00F85498" w:rsidP="00F85498">
      <w:pPr>
        <w:jc w:val="both"/>
      </w:pPr>
      <w:r>
        <w:t xml:space="preserve">The </w:t>
      </w:r>
      <w:r w:rsidR="00437BF8">
        <w:t>Shire</w:t>
      </w:r>
      <w:r>
        <w:t xml:space="preserve"> is also committed to responding to the disclosure thoroughly and impartially. We will treat all people in the disclosure process fairly, including those who may be the subject of a disclosure.  </w:t>
      </w:r>
    </w:p>
    <w:p w14:paraId="18040774" w14:textId="49787BD5" w:rsidR="00F85498" w:rsidRDefault="00F85498" w:rsidP="00F85498">
      <w:pPr>
        <w:jc w:val="both"/>
      </w:pPr>
      <w:r>
        <w:t xml:space="preserve">The </w:t>
      </w:r>
      <w:r w:rsidR="00437BF8">
        <w:t xml:space="preserve">Shire </w:t>
      </w:r>
      <w:r>
        <w:t xml:space="preserve">will provide as much information as possible to people considering making a public interest disclosure. These internal procedures are accessible to all employees and contractors. Copies are available from the designated person appointed as the proper authority (Public Interest Disclosure (PID) Officer) and will be kept </w:t>
      </w:r>
      <w:r w:rsidR="00437BF8">
        <w:t>on the Shire’s intranet</w:t>
      </w:r>
      <w:r>
        <w:t xml:space="preserve">. </w:t>
      </w:r>
    </w:p>
    <w:p w14:paraId="6D9EB212" w14:textId="3D4E666F" w:rsidR="00F85498" w:rsidRDefault="00F85498" w:rsidP="00F85498">
      <w:pPr>
        <w:jc w:val="both"/>
      </w:pPr>
      <w:r>
        <w:t xml:space="preserve">General information about public interest disclosures and how </w:t>
      </w:r>
      <w:r w:rsidR="0088774B">
        <w:t xml:space="preserve">the Shire </w:t>
      </w:r>
      <w:r>
        <w:t xml:space="preserve">will manage a disclosure is available for external clients and members of the community on our website </w:t>
      </w:r>
      <w:hyperlink r:id="rId11" w:history="1">
        <w:r w:rsidR="0088774B" w:rsidRPr="009D30C2">
          <w:rPr>
            <w:rStyle w:val="Hyperlink"/>
          </w:rPr>
          <w:t>https://www.amrshire.wa.gov.au</w:t>
        </w:r>
      </w:hyperlink>
      <w:r w:rsidR="0088774B">
        <w:t>.</w:t>
      </w:r>
    </w:p>
    <w:p w14:paraId="7C2260EF" w14:textId="5CF6B6B0" w:rsidR="00F85498" w:rsidRDefault="00F85498" w:rsidP="00F85498">
      <w:pPr>
        <w:jc w:val="both"/>
      </w:pPr>
      <w:r>
        <w:t xml:space="preserve">While these procedures focus on public interest disclosures, we are committed to dealing with all reports of suspected wrongdoing. We encourage people to report, if they witness any such behaviour. </w:t>
      </w:r>
      <w:r w:rsidR="0088774B" w:rsidRPr="0088774B">
        <w:t>The Shire</w:t>
      </w:r>
      <w:r w:rsidRPr="0088774B">
        <w:t xml:space="preserve"> w</w:t>
      </w:r>
      <w:r>
        <w:t>ill consider each matter under the appropriate reporting pathway and make every attempt to protect staff members making reports from any reprisals.</w:t>
      </w:r>
    </w:p>
    <w:p w14:paraId="4DEDAF87" w14:textId="77777777" w:rsidR="00F85498" w:rsidRDefault="00F85498" w:rsidP="00F85498">
      <w:pPr>
        <w:spacing w:after="0" w:line="240" w:lineRule="auto"/>
        <w:jc w:val="both"/>
      </w:pPr>
      <w:r>
        <w:br w:type="page"/>
      </w:r>
    </w:p>
    <w:p w14:paraId="3273ADE1" w14:textId="77777777" w:rsidR="00F85498" w:rsidRDefault="00F85498" w:rsidP="00F85498">
      <w:pPr>
        <w:pStyle w:val="Heading1"/>
        <w:jc w:val="both"/>
      </w:pPr>
      <w:bookmarkStart w:id="1" w:name="_Toc508616407"/>
      <w:r>
        <w:lastRenderedPageBreak/>
        <w:t>B. Purpose of the internal procedures</w:t>
      </w:r>
      <w:bookmarkEnd w:id="1"/>
    </w:p>
    <w:p w14:paraId="1AE2506E" w14:textId="4240AD53" w:rsidR="00F85498" w:rsidRDefault="00F85498" w:rsidP="00F85498">
      <w:pPr>
        <w:jc w:val="both"/>
      </w:pPr>
      <w:r>
        <w:t xml:space="preserve">Our </w:t>
      </w:r>
      <w:r w:rsidR="0088774B">
        <w:t xml:space="preserve">Chief Executive Officer </w:t>
      </w:r>
      <w:r>
        <w:t xml:space="preserve">must prepare and publish these internal procedures under s. 23(1)(e) of the PID Act. </w:t>
      </w:r>
    </w:p>
    <w:p w14:paraId="77344E92" w14:textId="190273FC" w:rsidR="00F85498" w:rsidRDefault="00F85498" w:rsidP="00F85498">
      <w:pPr>
        <w:jc w:val="both"/>
      </w:pPr>
      <w:r>
        <w:t xml:space="preserve">These procedures outline how we will meet our obligations under the PID Act. They cover the roles and responsibilities of the </w:t>
      </w:r>
      <w:r w:rsidR="0088774B">
        <w:t>Chief Executive Officer</w:t>
      </w:r>
      <w:r>
        <w:t>, the person designated as the proper authority in accordance with s. 23(1)(a) and s. 5(3)(h) referred to in this document as the PID Officer, the discloser and the subject of the disclosure.</w:t>
      </w:r>
    </w:p>
    <w:p w14:paraId="2CB7233D" w14:textId="1A27DEC3" w:rsidR="00F85498" w:rsidRDefault="00F85498" w:rsidP="00F85498">
      <w:pPr>
        <w:jc w:val="both"/>
      </w:pPr>
      <w:r>
        <w:t xml:space="preserve">The procedures are to be read in conjunction with the PID Act, </w:t>
      </w:r>
      <w:r w:rsidRPr="00474F4D">
        <w:rPr>
          <w:i/>
        </w:rPr>
        <w:t>Public Interest Disclosure Regulations 2003</w:t>
      </w:r>
      <w:r>
        <w:t xml:space="preserve"> and </w:t>
      </w:r>
      <w:r w:rsidRPr="00474F4D">
        <w:rPr>
          <w:i/>
        </w:rPr>
        <w:t>Don’t be afraid to speak up</w:t>
      </w:r>
      <w:r>
        <w:t>.</w:t>
      </w:r>
    </w:p>
    <w:p w14:paraId="654BC29B" w14:textId="77777777" w:rsidR="00F85498" w:rsidRDefault="00F85498" w:rsidP="00F85498">
      <w:pPr>
        <w:jc w:val="both"/>
      </w:pPr>
    </w:p>
    <w:p w14:paraId="2675ADD8" w14:textId="77777777" w:rsidR="00F85498" w:rsidRDefault="00F85498" w:rsidP="00F85498">
      <w:pPr>
        <w:spacing w:after="0" w:line="240" w:lineRule="auto"/>
        <w:jc w:val="both"/>
      </w:pPr>
      <w:r>
        <w:br w:type="page"/>
      </w:r>
    </w:p>
    <w:p w14:paraId="0B9B02C6" w14:textId="77777777" w:rsidR="00F85498" w:rsidRDefault="00F85498" w:rsidP="00F85498">
      <w:pPr>
        <w:pStyle w:val="Heading1"/>
        <w:jc w:val="both"/>
      </w:pPr>
      <w:bookmarkStart w:id="2" w:name="_Toc508616409"/>
      <w:r>
        <w:t>C. Scope and application of internal procedures</w:t>
      </w:r>
      <w:bookmarkEnd w:id="2"/>
    </w:p>
    <w:p w14:paraId="4743917A" w14:textId="77777777" w:rsidR="0088774B" w:rsidRDefault="0088774B" w:rsidP="00F85498">
      <w:pPr>
        <w:jc w:val="both"/>
      </w:pPr>
    </w:p>
    <w:p w14:paraId="54C62E76" w14:textId="11287825" w:rsidR="00F85498" w:rsidRDefault="00F85498" w:rsidP="00F85498">
      <w:pPr>
        <w:jc w:val="both"/>
      </w:pPr>
      <w:r>
        <w:t xml:space="preserve">These procedures apply to all people involved in the public interest disclosure process, including our </w:t>
      </w:r>
      <w:r w:rsidR="0088774B" w:rsidRPr="0088774B">
        <w:t>Chief Executive Officer</w:t>
      </w:r>
      <w:r w:rsidRPr="0088774B">
        <w:t>,</w:t>
      </w:r>
      <w:r>
        <w:t xml:space="preserve"> PID Officer(s), employees of the </w:t>
      </w:r>
      <w:r w:rsidR="0088774B">
        <w:t>Shire</w:t>
      </w:r>
      <w:r>
        <w:t xml:space="preserve"> and/or any person making a public interest disclosure and any subject(s) of a disclosure. </w:t>
      </w:r>
    </w:p>
    <w:p w14:paraId="51F1381D" w14:textId="77777777" w:rsidR="00F85498" w:rsidRDefault="00F85498" w:rsidP="00F85498">
      <w:pPr>
        <w:jc w:val="both"/>
      </w:pPr>
      <w:r>
        <w:t>These procedures should be read in conjunction with:</w:t>
      </w:r>
    </w:p>
    <w:p w14:paraId="2E0282CF" w14:textId="77777777" w:rsidR="00F85498" w:rsidRPr="00AB6F30" w:rsidRDefault="00F85498" w:rsidP="00AB6F30">
      <w:pPr>
        <w:pStyle w:val="BulletList"/>
        <w:rPr>
          <w:sz w:val="22"/>
          <w:szCs w:val="22"/>
        </w:rPr>
      </w:pPr>
      <w:r w:rsidRPr="00AB6F30">
        <w:rPr>
          <w:sz w:val="22"/>
          <w:szCs w:val="22"/>
        </w:rPr>
        <w:t xml:space="preserve">Public Interest Disclosure Act 2003 </w:t>
      </w:r>
    </w:p>
    <w:p w14:paraId="3161039C" w14:textId="77777777" w:rsidR="00F85498" w:rsidRPr="00AB6F30" w:rsidRDefault="00F85498" w:rsidP="00AB6F30">
      <w:pPr>
        <w:pStyle w:val="BulletList"/>
        <w:rPr>
          <w:sz w:val="22"/>
          <w:szCs w:val="22"/>
        </w:rPr>
      </w:pPr>
      <w:r w:rsidRPr="00AB6F30">
        <w:rPr>
          <w:sz w:val="22"/>
          <w:szCs w:val="22"/>
        </w:rPr>
        <w:t>Public Interest Disclosure Regulations 2003</w:t>
      </w:r>
    </w:p>
    <w:p w14:paraId="71D44B4A" w14:textId="0CC223C1" w:rsidR="00F85498" w:rsidRPr="00AB6F30" w:rsidRDefault="00AB6F30" w:rsidP="00AB6F30">
      <w:pPr>
        <w:pStyle w:val="BulletList"/>
        <w:rPr>
          <w:sz w:val="22"/>
          <w:szCs w:val="22"/>
        </w:rPr>
      </w:pPr>
      <w:r w:rsidRPr="00AB6F30">
        <w:rPr>
          <w:sz w:val="22"/>
          <w:szCs w:val="22"/>
        </w:rPr>
        <w:t>Shire Augusta Margaret River Code of Conduct</w:t>
      </w:r>
      <w:r w:rsidR="00F85498" w:rsidRPr="00AB6F30">
        <w:rPr>
          <w:sz w:val="22"/>
          <w:szCs w:val="22"/>
        </w:rPr>
        <w:t xml:space="preserve">  </w:t>
      </w:r>
    </w:p>
    <w:p w14:paraId="78594AFE" w14:textId="77777777" w:rsidR="00F85498" w:rsidRDefault="00F85498" w:rsidP="00F85498">
      <w:pPr>
        <w:jc w:val="both"/>
      </w:pPr>
      <w:r>
        <w:t xml:space="preserve">The behaviour of all employees involved in the public interest disclosure process must accord with our Code of conduct at all times. A breach of the Code of conduct may result in disciplinary action.  </w:t>
      </w:r>
    </w:p>
    <w:p w14:paraId="149EEEE2" w14:textId="77777777" w:rsidR="00F85498" w:rsidRDefault="00F85498" w:rsidP="00F85498">
      <w:pPr>
        <w:spacing w:after="0" w:line="240" w:lineRule="auto"/>
        <w:jc w:val="both"/>
      </w:pPr>
      <w:r>
        <w:br w:type="page"/>
      </w:r>
    </w:p>
    <w:p w14:paraId="303F0A47" w14:textId="4EF2E82B" w:rsidR="00F85498" w:rsidRDefault="00F85498" w:rsidP="00F85498">
      <w:pPr>
        <w:pStyle w:val="Heading1"/>
        <w:jc w:val="both"/>
      </w:pPr>
      <w:bookmarkStart w:id="3" w:name="_Toc508616410"/>
      <w:r>
        <w:t xml:space="preserve">D. Overview of roles and responsibilities of parties involved in the disclosure process at </w:t>
      </w:r>
      <w:bookmarkEnd w:id="3"/>
      <w:r w:rsidR="0088774B">
        <w:t>the Shire Augusta Margaret River</w:t>
      </w:r>
    </w:p>
    <w:tbl>
      <w:tblPr>
        <w:tblStyle w:val="TableColumns2"/>
        <w:tblW w:w="0" w:type="auto"/>
        <w:tblLook w:val="04A0" w:firstRow="1" w:lastRow="0" w:firstColumn="1" w:lastColumn="0" w:noHBand="0" w:noVBand="1"/>
        <w:tblDescription w:val="&quot;&quot;"/>
      </w:tblPr>
      <w:tblGrid>
        <w:gridCol w:w="3136"/>
        <w:gridCol w:w="6048"/>
      </w:tblGrid>
      <w:tr w:rsidR="00F85498" w14:paraId="2B0B48DE" w14:textId="77777777" w:rsidTr="00B31B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7D7A05C7" w14:textId="77777777" w:rsidR="00F85498" w:rsidRPr="00E15AFA" w:rsidRDefault="00F85498" w:rsidP="00F85498">
            <w:pPr>
              <w:spacing w:before="144" w:after="144"/>
              <w:jc w:val="both"/>
            </w:pPr>
            <w:r w:rsidRPr="00E15AFA">
              <w:t>Person / role</w:t>
            </w:r>
          </w:p>
        </w:tc>
        <w:tc>
          <w:tcPr>
            <w:tcW w:w="6913" w:type="dxa"/>
          </w:tcPr>
          <w:p w14:paraId="4D3CA824" w14:textId="77777777" w:rsidR="00F85498" w:rsidRDefault="00F85498" w:rsidP="00F85498">
            <w:pPr>
              <w:spacing w:before="144" w:after="144"/>
              <w:jc w:val="both"/>
              <w:cnfStyle w:val="100000000000" w:firstRow="1" w:lastRow="0" w:firstColumn="0" w:lastColumn="0" w:oddVBand="0" w:evenVBand="0" w:oddHBand="0" w:evenHBand="0" w:firstRowFirstColumn="0" w:firstRowLastColumn="0" w:lastRowFirstColumn="0" w:lastRowLastColumn="0"/>
            </w:pPr>
            <w:r w:rsidRPr="00E15AFA">
              <w:t>Responsibilities</w:t>
            </w:r>
          </w:p>
        </w:tc>
      </w:tr>
      <w:tr w:rsidR="00F85498" w14:paraId="3B0FDCF7" w14:textId="77777777" w:rsidTr="00B31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6AF733AE" w14:textId="77777777" w:rsidR="00F85498" w:rsidRDefault="00F85498" w:rsidP="00F85498">
            <w:pPr>
              <w:jc w:val="both"/>
            </w:pPr>
            <w:r>
              <w:t>Principal executive officer (s. 23)</w:t>
            </w:r>
          </w:p>
          <w:p w14:paraId="28867B8B" w14:textId="7F7D2AC1" w:rsidR="00F85498" w:rsidRDefault="00F85498" w:rsidP="00AB6F30">
            <w:r>
              <w:t xml:space="preserve">(in </w:t>
            </w:r>
            <w:r w:rsidR="0088774B">
              <w:t>Shire of Augusta Margaret River</w:t>
            </w:r>
            <w:r>
              <w:t xml:space="preserve">, the </w:t>
            </w:r>
            <w:r w:rsidR="0088774B">
              <w:t>Chief Executive Officer</w:t>
            </w:r>
            <w:r>
              <w:t>:</w:t>
            </w:r>
          </w:p>
        </w:tc>
        <w:tc>
          <w:tcPr>
            <w:tcW w:w="6913" w:type="dxa"/>
          </w:tcPr>
          <w:p w14:paraId="4A3E5B89" w14:textId="1C9F315A" w:rsidR="00F85498" w:rsidRDefault="00F85498" w:rsidP="00AB6F30">
            <w:pPr>
              <w:pStyle w:val="BulletList"/>
              <w:cnfStyle w:val="000000100000" w:firstRow="0" w:lastRow="0" w:firstColumn="0" w:lastColumn="0" w:oddVBand="0" w:evenVBand="0" w:oddHBand="1" w:evenHBand="0" w:firstRowFirstColumn="0" w:firstRowLastColumn="0" w:lastRowFirstColumn="0" w:lastRowLastColumn="0"/>
            </w:pPr>
            <w:r>
              <w:t xml:space="preserve">Designates the occupant of a specified position (a PID Officer) to receive public interest disclosures related to </w:t>
            </w:r>
            <w:r w:rsidR="0088774B">
              <w:t>the Shire</w:t>
            </w:r>
            <w:r>
              <w:t xml:space="preserve"> (s. 23(1)(a).</w:t>
            </w:r>
          </w:p>
          <w:p w14:paraId="554A8104" w14:textId="7A5117FC" w:rsidR="00F85498" w:rsidRDefault="00F85498" w:rsidP="00AB6F30">
            <w:pPr>
              <w:pStyle w:val="BulletList"/>
              <w:cnfStyle w:val="000000100000" w:firstRow="0" w:lastRow="0" w:firstColumn="0" w:lastColumn="0" w:oddVBand="0" w:evenVBand="0" w:oddHBand="1" w:evenHBand="0" w:firstRowFirstColumn="0" w:firstRowLastColumn="0" w:lastRowFirstColumn="0" w:lastRowLastColumn="0"/>
            </w:pPr>
            <w:r>
              <w:t xml:space="preserve">Provides protection from detrimental action or the threat of detrimental action for any employee of </w:t>
            </w:r>
            <w:r w:rsidR="0088774B">
              <w:t>the Shire</w:t>
            </w:r>
            <w:r>
              <w:t xml:space="preserve"> who makes a public interest disclosure (s. 23(1)(b)).</w:t>
            </w:r>
          </w:p>
          <w:p w14:paraId="26446606" w14:textId="4BEDCB0F" w:rsidR="00F85498" w:rsidRDefault="00F85498" w:rsidP="00AB6F30">
            <w:pPr>
              <w:pStyle w:val="BulletList"/>
              <w:cnfStyle w:val="000000100000" w:firstRow="0" w:lastRow="0" w:firstColumn="0" w:lastColumn="0" w:oddVBand="0" w:evenVBand="0" w:oddHBand="1" w:evenHBand="0" w:firstRowFirstColumn="0" w:firstRowLastColumn="0" w:lastRowFirstColumn="0" w:lastRowLastColumn="0"/>
            </w:pPr>
            <w:r>
              <w:t xml:space="preserve">Ensures </w:t>
            </w:r>
            <w:r w:rsidR="0088774B">
              <w:t>the Shire</w:t>
            </w:r>
            <w:r>
              <w:t xml:space="preserve"> complies with the PID Act and the code of conduct and integrity established by the Public Sector Commissioner (ss. 23(1)(c) and (d)).</w:t>
            </w:r>
          </w:p>
          <w:p w14:paraId="290AB96A" w14:textId="29A09461" w:rsidR="00F85498" w:rsidRDefault="00F85498" w:rsidP="00AB6F30">
            <w:pPr>
              <w:pStyle w:val="BulletList"/>
              <w:cnfStyle w:val="000000100000" w:firstRow="0" w:lastRow="0" w:firstColumn="0" w:lastColumn="0" w:oddVBand="0" w:evenVBand="0" w:oddHBand="1" w:evenHBand="0" w:firstRowFirstColumn="0" w:firstRowLastColumn="0" w:lastRowFirstColumn="0" w:lastRowLastColumn="0"/>
            </w:pPr>
            <w:r>
              <w:t xml:space="preserve">Prepares and publishes internal procedures, consistent with those prepared by the Public Sector Commission, detailing how </w:t>
            </w:r>
            <w:r w:rsidR="0088774B">
              <w:t>the Shire</w:t>
            </w:r>
            <w:r>
              <w:t xml:space="preserve"> will meet its obligations under the PID Act (s. 23(1)(e)).</w:t>
            </w:r>
          </w:p>
          <w:p w14:paraId="1B77EB0E" w14:textId="77777777" w:rsidR="00F85498" w:rsidRDefault="00F85498" w:rsidP="00AB6F30">
            <w:pPr>
              <w:pStyle w:val="BulletList"/>
              <w:cnfStyle w:val="000000100000" w:firstRow="0" w:lastRow="0" w:firstColumn="0" w:lastColumn="0" w:oddVBand="0" w:evenVBand="0" w:oddHBand="1" w:evenHBand="0" w:firstRowFirstColumn="0" w:firstRowLastColumn="0" w:lastRowFirstColumn="0" w:lastRowLastColumn="0"/>
            </w:pPr>
            <w:r>
              <w:t>Provides information (s. 23(1)(f)) to the Public Sector Commissioner on the:</w:t>
            </w:r>
          </w:p>
          <w:p w14:paraId="62813FDE" w14:textId="11C81A8E" w:rsidR="00F85498" w:rsidRDefault="00F85498" w:rsidP="00AB6F30">
            <w:pPr>
              <w:pStyle w:val="BulletList"/>
              <w:cnfStyle w:val="000000100000" w:firstRow="0" w:lastRow="0" w:firstColumn="0" w:lastColumn="0" w:oddVBand="0" w:evenVBand="0" w:oddHBand="1" w:evenHBand="0" w:firstRowFirstColumn="0" w:firstRowLastColumn="0" w:lastRowFirstColumn="0" w:lastRowLastColumn="0"/>
            </w:pPr>
            <w:r>
              <w:t xml:space="preserve">number of disclosures received by </w:t>
            </w:r>
            <w:r w:rsidR="0088774B">
              <w:t>the Shire</w:t>
            </w:r>
          </w:p>
          <w:p w14:paraId="137C01F1" w14:textId="77777777" w:rsidR="00F85498" w:rsidRDefault="00F85498" w:rsidP="00AB6F30">
            <w:pPr>
              <w:pStyle w:val="BulletList"/>
              <w:cnfStyle w:val="000000100000" w:firstRow="0" w:lastRow="0" w:firstColumn="0" w:lastColumn="0" w:oddVBand="0" w:evenVBand="0" w:oddHBand="1" w:evenHBand="0" w:firstRowFirstColumn="0" w:firstRowLastColumn="0" w:lastRowFirstColumn="0" w:lastRowLastColumn="0"/>
            </w:pPr>
            <w:r>
              <w:t>results of any investigations conducted as a result of the disclosures</w:t>
            </w:r>
          </w:p>
          <w:p w14:paraId="1763294F" w14:textId="77777777" w:rsidR="00F85498" w:rsidRDefault="00F85498" w:rsidP="00AB6F30">
            <w:pPr>
              <w:pStyle w:val="BulletList"/>
              <w:cnfStyle w:val="000000100000" w:firstRow="0" w:lastRow="0" w:firstColumn="0" w:lastColumn="0" w:oddVBand="0" w:evenVBand="0" w:oddHBand="1" w:evenHBand="0" w:firstRowFirstColumn="0" w:firstRowLastColumn="0" w:lastRowFirstColumn="0" w:lastRowLastColumn="0"/>
            </w:pPr>
            <w:r>
              <w:t>action, if any taken, as a result of each disclosure</w:t>
            </w:r>
          </w:p>
          <w:p w14:paraId="52347C5D" w14:textId="77777777" w:rsidR="00F85498" w:rsidRDefault="00F85498" w:rsidP="00AB6F30">
            <w:pPr>
              <w:pStyle w:val="BulletList"/>
              <w:cnfStyle w:val="000000100000" w:firstRow="0" w:lastRow="0" w:firstColumn="0" w:lastColumn="0" w:oddVBand="0" w:evenVBand="0" w:oddHBand="1" w:evenHBand="0" w:firstRowFirstColumn="0" w:firstRowLastColumn="0" w:lastRowFirstColumn="0" w:lastRowLastColumn="0"/>
            </w:pPr>
            <w:r>
              <w:t>any matters as prescribed.</w:t>
            </w:r>
          </w:p>
          <w:p w14:paraId="4293CC42" w14:textId="77777777" w:rsidR="00F85498" w:rsidRDefault="00F85498" w:rsidP="00AB6F30">
            <w:pPr>
              <w:pStyle w:val="BulletList"/>
              <w:cnfStyle w:val="000000100000" w:firstRow="0" w:lastRow="0" w:firstColumn="0" w:lastColumn="0" w:oddVBand="0" w:evenVBand="0" w:oddHBand="1" w:evenHBand="0" w:firstRowFirstColumn="0" w:firstRowLastColumn="0" w:lastRowFirstColumn="0" w:lastRowLastColumn="0"/>
            </w:pPr>
            <w:r>
              <w:t>May have a role in enabling an investigation to be undertaken or taking disciplinary action against individuals under functions and powers separately from the PID Act.</w:t>
            </w:r>
          </w:p>
        </w:tc>
      </w:tr>
    </w:tbl>
    <w:p w14:paraId="6A9CB32A" w14:textId="77777777" w:rsidR="00F85498" w:rsidRDefault="00F85498" w:rsidP="00F85498">
      <w:pPr>
        <w:jc w:val="both"/>
      </w:pPr>
    </w:p>
    <w:p w14:paraId="18923E62" w14:textId="77777777" w:rsidR="00F85498" w:rsidRDefault="00F85498" w:rsidP="00F85498">
      <w:pPr>
        <w:spacing w:after="0" w:line="240" w:lineRule="auto"/>
        <w:jc w:val="both"/>
      </w:pPr>
      <w:r>
        <w:br w:type="page"/>
      </w:r>
    </w:p>
    <w:tbl>
      <w:tblPr>
        <w:tblStyle w:val="TableColumns2"/>
        <w:tblW w:w="0" w:type="auto"/>
        <w:tblLook w:val="04A0" w:firstRow="1" w:lastRow="0" w:firstColumn="1" w:lastColumn="0" w:noHBand="0" w:noVBand="1"/>
        <w:tblDescription w:val="&quot;&quot;"/>
      </w:tblPr>
      <w:tblGrid>
        <w:gridCol w:w="3126"/>
        <w:gridCol w:w="6058"/>
      </w:tblGrid>
      <w:tr w:rsidR="00F85498" w14:paraId="2CD31191" w14:textId="77777777" w:rsidTr="00B31B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3D6FED33" w14:textId="77777777" w:rsidR="00F85498" w:rsidRPr="00E15AFA" w:rsidRDefault="00F85498" w:rsidP="00F85498">
            <w:pPr>
              <w:spacing w:before="144" w:after="144"/>
              <w:jc w:val="both"/>
            </w:pPr>
            <w:r w:rsidRPr="00E15AFA">
              <w:t>Person / role</w:t>
            </w:r>
          </w:p>
        </w:tc>
        <w:tc>
          <w:tcPr>
            <w:tcW w:w="6913" w:type="dxa"/>
          </w:tcPr>
          <w:p w14:paraId="09EB8ED4" w14:textId="77777777" w:rsidR="00F85498" w:rsidRDefault="00F85498" w:rsidP="00F85498">
            <w:pPr>
              <w:spacing w:before="144" w:after="144"/>
              <w:jc w:val="both"/>
              <w:cnfStyle w:val="100000000000" w:firstRow="1" w:lastRow="0" w:firstColumn="0" w:lastColumn="0" w:oddVBand="0" w:evenVBand="0" w:oddHBand="0" w:evenHBand="0" w:firstRowFirstColumn="0" w:firstRowLastColumn="0" w:lastRowFirstColumn="0" w:lastRowLastColumn="0"/>
            </w:pPr>
            <w:r w:rsidRPr="00E15AFA">
              <w:t>Responsibilities</w:t>
            </w:r>
          </w:p>
        </w:tc>
      </w:tr>
      <w:tr w:rsidR="00F85498" w14:paraId="097C1DD3" w14:textId="77777777" w:rsidTr="00B31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3855A425" w14:textId="77777777" w:rsidR="00F85498" w:rsidRDefault="00F85498" w:rsidP="00F85498">
            <w:pPr>
              <w:jc w:val="both"/>
            </w:pPr>
            <w:r>
              <w:t xml:space="preserve">The Proper Authority (s. 5(3),  </w:t>
            </w:r>
            <w:r>
              <w:br/>
              <w:t>s. 7 and s. 18)</w:t>
            </w:r>
          </w:p>
          <w:p w14:paraId="4886E952" w14:textId="77777777" w:rsidR="00F85498" w:rsidRDefault="00F85498" w:rsidP="00F85498">
            <w:pPr>
              <w:jc w:val="both"/>
            </w:pPr>
            <w:r>
              <w:t>or</w:t>
            </w:r>
          </w:p>
          <w:p w14:paraId="7AB1CC5F" w14:textId="77777777" w:rsidR="00F85498" w:rsidRDefault="00F85498" w:rsidP="00F85498">
            <w:pPr>
              <w:jc w:val="both"/>
            </w:pPr>
            <w:r>
              <w:t>PID Officer(s 23(1)(a)):</w:t>
            </w:r>
          </w:p>
        </w:tc>
        <w:tc>
          <w:tcPr>
            <w:tcW w:w="6913" w:type="dxa"/>
          </w:tcPr>
          <w:p w14:paraId="11FA53B2" w14:textId="18FAB225" w:rsidR="00F85498" w:rsidRDefault="00F85498" w:rsidP="00AB6F30">
            <w:pPr>
              <w:pStyle w:val="BulletList"/>
              <w:cnfStyle w:val="000000100000" w:firstRow="0" w:lastRow="0" w:firstColumn="0" w:lastColumn="0" w:oddVBand="0" w:evenVBand="0" w:oddHBand="1" w:evenHBand="0" w:firstRowFirstColumn="0" w:firstRowLastColumn="0" w:lastRowFirstColumn="0" w:lastRowLastColumn="0"/>
            </w:pPr>
            <w:r>
              <w:t xml:space="preserve">As is designated by ss. 5(3)(a-g) or by the </w:t>
            </w:r>
            <w:r w:rsidR="0088774B">
              <w:t>Chief Executive Officer</w:t>
            </w:r>
            <w:r>
              <w:t xml:space="preserve"> of </w:t>
            </w:r>
            <w:r w:rsidR="0088774B">
              <w:t>the Shire</w:t>
            </w:r>
            <w:r>
              <w:t xml:space="preserve">, under s. 23(1)(a) the PID Officer is to receive disclosures related to the </w:t>
            </w:r>
            <w:r w:rsidR="0088774B">
              <w:t>Shire</w:t>
            </w:r>
            <w:r>
              <w:t>.</w:t>
            </w:r>
          </w:p>
          <w:p w14:paraId="4B699ED1" w14:textId="77777777" w:rsidR="00F85498" w:rsidRDefault="00F85498" w:rsidP="00AB6F30">
            <w:pPr>
              <w:pStyle w:val="BulletList"/>
              <w:cnfStyle w:val="000000100000" w:firstRow="0" w:lastRow="0" w:firstColumn="0" w:lastColumn="0" w:oddVBand="0" w:evenVBand="0" w:oddHBand="1" w:evenHBand="0" w:firstRowFirstColumn="0" w:firstRowLastColumn="0" w:lastRowFirstColumn="0" w:lastRowLastColumn="0"/>
            </w:pPr>
            <w:r>
              <w:t xml:space="preserve">Provides information to potential disclosers about their rights and responsibilities consistent with the Code of conduct and integrity established under s. 20(1). </w:t>
            </w:r>
          </w:p>
          <w:p w14:paraId="2DFE98E2" w14:textId="77777777" w:rsidR="00F85498" w:rsidRDefault="00F85498" w:rsidP="00AB6F30">
            <w:pPr>
              <w:pStyle w:val="BulletList"/>
              <w:cnfStyle w:val="000000100000" w:firstRow="0" w:lastRow="0" w:firstColumn="0" w:lastColumn="0" w:oddVBand="0" w:evenVBand="0" w:oddHBand="1" w:evenHBand="0" w:firstRowFirstColumn="0" w:firstRowLastColumn="0" w:lastRowFirstColumn="0" w:lastRowLastColumn="0"/>
            </w:pPr>
            <w:r>
              <w:t>Receives and manages public interest disclosures in accordance with the PID Act (s. 5(3)).</w:t>
            </w:r>
          </w:p>
          <w:p w14:paraId="1B3BF197" w14:textId="77777777" w:rsidR="00F85498" w:rsidRDefault="00F85498" w:rsidP="00AB6F30">
            <w:pPr>
              <w:pStyle w:val="BulletList"/>
              <w:cnfStyle w:val="000000100000" w:firstRow="0" w:lastRow="0" w:firstColumn="0" w:lastColumn="0" w:oddVBand="0" w:evenVBand="0" w:oddHBand="1" w:evenHBand="0" w:firstRowFirstColumn="0" w:firstRowLastColumn="0" w:lastRowFirstColumn="0" w:lastRowLastColumn="0"/>
            </w:pPr>
            <w:r>
              <w:t>Notifies the discloser within three months of the disclosure being made about what action is planned in dealing with the disclosure (s. 10(1)).</w:t>
            </w:r>
          </w:p>
          <w:p w14:paraId="65AFFF60" w14:textId="77777777" w:rsidR="00F85498" w:rsidRDefault="00F85498" w:rsidP="00AB6F30">
            <w:pPr>
              <w:pStyle w:val="BulletList"/>
              <w:cnfStyle w:val="000000100000" w:firstRow="0" w:lastRow="0" w:firstColumn="0" w:lastColumn="0" w:oddVBand="0" w:evenVBand="0" w:oddHBand="1" w:evenHBand="0" w:firstRowFirstColumn="0" w:firstRowLastColumn="0" w:lastRowFirstColumn="0" w:lastRowLastColumn="0"/>
            </w:pPr>
            <w:r>
              <w:t>Where appropriate, investigates, or causes an investigation of, the matters in the disclosures (s. 8(1)).</w:t>
            </w:r>
          </w:p>
          <w:p w14:paraId="2BE4F7B1" w14:textId="77777777" w:rsidR="00F85498" w:rsidRDefault="00F85498" w:rsidP="00AB6F30">
            <w:pPr>
              <w:pStyle w:val="BulletList"/>
              <w:cnfStyle w:val="000000100000" w:firstRow="0" w:lastRow="0" w:firstColumn="0" w:lastColumn="0" w:oddVBand="0" w:evenVBand="0" w:oddHBand="1" w:evenHBand="0" w:firstRowFirstColumn="0" w:firstRowLastColumn="0" w:lastRowFirstColumn="0" w:lastRowLastColumn="0"/>
            </w:pPr>
            <w:r>
              <w:t>Where appropriate, provides information to subjects of a disclosure about their rights, responsibilities, duties and potential offences (s. 9(2), s. 14, s. 15, s. 16 and s. 24).</w:t>
            </w:r>
          </w:p>
          <w:p w14:paraId="09FF17C6" w14:textId="77777777" w:rsidR="00F85498" w:rsidRDefault="00F85498" w:rsidP="00AB6F30">
            <w:pPr>
              <w:pStyle w:val="BulletList"/>
              <w:cnfStyle w:val="000000100000" w:firstRow="0" w:lastRow="0" w:firstColumn="0" w:lastColumn="0" w:oddVBand="0" w:evenVBand="0" w:oddHBand="1" w:evenHBand="0" w:firstRowFirstColumn="0" w:firstRowLastColumn="0" w:lastRowFirstColumn="0" w:lastRowLastColumn="0"/>
            </w:pPr>
            <w:r>
              <w:t>Where appropriate, takes such action as is necessary and reasonable, within their functions and powers in accordance with s. 9.</w:t>
            </w:r>
          </w:p>
          <w:p w14:paraId="1A3FAB92" w14:textId="77777777" w:rsidR="00F85498" w:rsidRDefault="00F85498" w:rsidP="00AB6F30">
            <w:pPr>
              <w:pStyle w:val="BulletList"/>
              <w:cnfStyle w:val="000000100000" w:firstRow="0" w:lastRow="0" w:firstColumn="0" w:lastColumn="0" w:oddVBand="0" w:evenVBand="0" w:oddHBand="1" w:evenHBand="0" w:firstRowFirstColumn="0" w:firstRowLastColumn="0" w:lastRowFirstColumn="0" w:lastRowLastColumn="0"/>
            </w:pPr>
            <w:r>
              <w:t>Maintains confidentiality of the identity of the discloser and subject(s) of disclosures, in accordance with the requirements of the PID Act (s. 11 and s. 16).</w:t>
            </w:r>
          </w:p>
          <w:p w14:paraId="17A5D310" w14:textId="77777777" w:rsidR="00F85498" w:rsidRDefault="00F85498" w:rsidP="00AB6F30">
            <w:pPr>
              <w:pStyle w:val="BulletList"/>
              <w:cnfStyle w:val="000000100000" w:firstRow="0" w:lastRow="0" w:firstColumn="0" w:lastColumn="0" w:oddVBand="0" w:evenVBand="0" w:oddHBand="1" w:evenHBand="0" w:firstRowFirstColumn="0" w:firstRowLastColumn="0" w:lastRowFirstColumn="0" w:lastRowLastColumn="0"/>
            </w:pPr>
            <w:r>
              <w:t>Provides progress reports where requested and a final report to the discloser in accordance with s. 10.</w:t>
            </w:r>
          </w:p>
          <w:p w14:paraId="4F9ECA2E" w14:textId="77777777" w:rsidR="00F85498" w:rsidRDefault="00F85498" w:rsidP="00AB6F30">
            <w:pPr>
              <w:pStyle w:val="BulletList"/>
              <w:cnfStyle w:val="000000100000" w:firstRow="0" w:lastRow="0" w:firstColumn="0" w:lastColumn="0" w:oddVBand="0" w:evenVBand="0" w:oddHBand="1" w:evenHBand="0" w:firstRowFirstColumn="0" w:firstRowLastColumn="0" w:lastRowFirstColumn="0" w:lastRowLastColumn="0"/>
            </w:pPr>
            <w:r>
              <w:t xml:space="preserve">Creates and maintains proper and secure records in relation to the disclosures in accordance with the Code of conduct and integrity established under s. 20(1) and the </w:t>
            </w:r>
            <w:r w:rsidRPr="00D87B44">
              <w:t>State Records Act 2000</w:t>
            </w:r>
            <w:r>
              <w:t xml:space="preserve">. </w:t>
            </w:r>
          </w:p>
          <w:p w14:paraId="19BF177C" w14:textId="77777777" w:rsidR="00F85498" w:rsidRDefault="00F85498" w:rsidP="00AB6F30">
            <w:pPr>
              <w:pStyle w:val="BulletList"/>
              <w:cnfStyle w:val="000000100000" w:firstRow="0" w:lastRow="0" w:firstColumn="0" w:lastColumn="0" w:oddVBand="0" w:evenVBand="0" w:oddHBand="1" w:evenHBand="0" w:firstRowFirstColumn="0" w:firstRowLastColumn="0" w:lastRowFirstColumn="0" w:lastRowLastColumn="0"/>
            </w:pPr>
            <w:r>
              <w:t>Completes a PID Register for each disclosure lodged (s. 23(1)(f)).</w:t>
            </w:r>
          </w:p>
          <w:p w14:paraId="52F4C28B" w14:textId="77777777" w:rsidR="00F85498" w:rsidRDefault="00F85498" w:rsidP="00AB6F30">
            <w:pPr>
              <w:pStyle w:val="BulletList"/>
              <w:cnfStyle w:val="000000100000" w:firstRow="0" w:lastRow="0" w:firstColumn="0" w:lastColumn="0" w:oddVBand="0" w:evenVBand="0" w:oddHBand="1" w:evenHBand="0" w:firstRowFirstColumn="0" w:firstRowLastColumn="0" w:lastRowFirstColumn="0" w:lastRowLastColumn="0"/>
            </w:pPr>
            <w:r>
              <w:t>Acts in accordance with the rules of natural justice (s. 9(2) and s. 16(1)(b)).</w:t>
            </w:r>
          </w:p>
          <w:p w14:paraId="12D827D0" w14:textId="77777777" w:rsidR="00F85498" w:rsidRDefault="00F85498" w:rsidP="00AB6F30">
            <w:pPr>
              <w:pStyle w:val="BulletList"/>
              <w:cnfStyle w:val="000000100000" w:firstRow="0" w:lastRow="0" w:firstColumn="0" w:lastColumn="0" w:oddVBand="0" w:evenVBand="0" w:oddHBand="1" w:evenHBand="0" w:firstRowFirstColumn="0" w:firstRowLastColumn="0" w:lastRowFirstColumn="0" w:lastRowLastColumn="0"/>
            </w:pPr>
            <w:r>
              <w:t>Acts in accordance with the code of conduct and integrity established by the Public Sector Commissioner (s. 20(1)) and any authority-specific code of conduct established separately from the PID Act.</w:t>
            </w:r>
          </w:p>
        </w:tc>
      </w:tr>
    </w:tbl>
    <w:p w14:paraId="7990D129" w14:textId="77777777" w:rsidR="00F85498" w:rsidRDefault="00F85498" w:rsidP="00F85498">
      <w:pPr>
        <w:jc w:val="both"/>
      </w:pPr>
    </w:p>
    <w:p w14:paraId="43B503DC" w14:textId="77777777" w:rsidR="00F85498" w:rsidRDefault="00F85498" w:rsidP="00F85498">
      <w:pPr>
        <w:spacing w:after="0" w:line="240" w:lineRule="auto"/>
        <w:jc w:val="both"/>
      </w:pPr>
      <w:r>
        <w:br w:type="page"/>
      </w:r>
    </w:p>
    <w:tbl>
      <w:tblPr>
        <w:tblStyle w:val="TableColumns2"/>
        <w:tblW w:w="0" w:type="auto"/>
        <w:tblLook w:val="04A0" w:firstRow="1" w:lastRow="0" w:firstColumn="1" w:lastColumn="0" w:noHBand="0" w:noVBand="1"/>
        <w:tblDescription w:val="&quot;&quot;"/>
      </w:tblPr>
      <w:tblGrid>
        <w:gridCol w:w="2935"/>
        <w:gridCol w:w="6249"/>
      </w:tblGrid>
      <w:tr w:rsidR="00F85498" w14:paraId="31180174" w14:textId="77777777" w:rsidTr="00B31B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tcPr>
          <w:p w14:paraId="1261F367" w14:textId="77777777" w:rsidR="00F85498" w:rsidRPr="00E15AFA" w:rsidRDefault="00F85498" w:rsidP="00F85498">
            <w:pPr>
              <w:spacing w:before="144" w:after="144"/>
              <w:jc w:val="both"/>
            </w:pPr>
            <w:r w:rsidRPr="00E15AFA">
              <w:t>Person / role</w:t>
            </w:r>
          </w:p>
        </w:tc>
        <w:tc>
          <w:tcPr>
            <w:tcW w:w="7196" w:type="dxa"/>
          </w:tcPr>
          <w:p w14:paraId="52C38026" w14:textId="77777777" w:rsidR="00F85498" w:rsidRDefault="00F85498" w:rsidP="00F85498">
            <w:pPr>
              <w:spacing w:before="144" w:after="144"/>
              <w:jc w:val="both"/>
              <w:cnfStyle w:val="100000000000" w:firstRow="1" w:lastRow="0" w:firstColumn="0" w:lastColumn="0" w:oddVBand="0" w:evenVBand="0" w:oddHBand="0" w:evenHBand="0" w:firstRowFirstColumn="0" w:firstRowLastColumn="0" w:lastRowFirstColumn="0" w:lastRowLastColumn="0"/>
            </w:pPr>
            <w:r w:rsidRPr="00E15AFA">
              <w:t>Responsibilities</w:t>
            </w:r>
          </w:p>
        </w:tc>
      </w:tr>
      <w:tr w:rsidR="00F85498" w14:paraId="2AC1C9AA" w14:textId="77777777" w:rsidTr="00B31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0FC9C35" w14:textId="77777777" w:rsidR="00F85498" w:rsidRDefault="00F85498" w:rsidP="00F85498">
            <w:pPr>
              <w:jc w:val="both"/>
            </w:pPr>
            <w:r w:rsidRPr="00D87B44">
              <w:t>The discloser:</w:t>
            </w:r>
          </w:p>
        </w:tc>
        <w:tc>
          <w:tcPr>
            <w:tcW w:w="7196" w:type="dxa"/>
          </w:tcPr>
          <w:p w14:paraId="7601414B" w14:textId="65B0E1E1" w:rsidR="00F85498" w:rsidRDefault="00F85498" w:rsidP="00AB6F30">
            <w:pPr>
              <w:pStyle w:val="BulletList"/>
              <w:cnfStyle w:val="000000100000" w:firstRow="0" w:lastRow="0" w:firstColumn="0" w:lastColumn="0" w:oddVBand="0" w:evenVBand="0" w:oddHBand="1" w:evenHBand="0" w:firstRowFirstColumn="0" w:firstRowLastColumn="0" w:lastRowFirstColumn="0" w:lastRowLastColumn="0"/>
            </w:pPr>
            <w:r>
              <w:t xml:space="preserve">Makes a public interest disclosure to a proper authority or our PID Officer if the matter relates to </w:t>
            </w:r>
            <w:r w:rsidR="0088774B">
              <w:t>the Shire</w:t>
            </w:r>
            <w:r>
              <w:t xml:space="preserve"> (s. 5(1)).</w:t>
            </w:r>
          </w:p>
          <w:p w14:paraId="2932C240" w14:textId="77777777" w:rsidR="00F85498" w:rsidRDefault="00F85498" w:rsidP="00AB6F30">
            <w:pPr>
              <w:pStyle w:val="BulletList"/>
              <w:cnfStyle w:val="000000100000" w:firstRow="0" w:lastRow="0" w:firstColumn="0" w:lastColumn="0" w:oddVBand="0" w:evenVBand="0" w:oddHBand="1" w:evenHBand="0" w:firstRowFirstColumn="0" w:firstRowLastColumn="0" w:lastRowFirstColumn="0" w:lastRowLastColumn="0"/>
            </w:pPr>
            <w:r>
              <w:t>Believes on reasonable grounds the information in their disclosure is, or may be, true (s. 5(2)).</w:t>
            </w:r>
          </w:p>
          <w:p w14:paraId="1B52D4C3" w14:textId="77777777" w:rsidR="00F85498" w:rsidRDefault="00F85498" w:rsidP="00AB6F30">
            <w:pPr>
              <w:pStyle w:val="BulletList"/>
              <w:cnfStyle w:val="000000100000" w:firstRow="0" w:lastRow="0" w:firstColumn="0" w:lastColumn="0" w:oddVBand="0" w:evenVBand="0" w:oddHBand="1" w:evenHBand="0" w:firstRowFirstColumn="0" w:firstRowLastColumn="0" w:lastRowFirstColumn="0" w:lastRowLastColumn="0"/>
            </w:pPr>
            <w:r>
              <w:t>Does not disclose information subject to legal professional privilege (s. 5(6)).</w:t>
            </w:r>
          </w:p>
          <w:p w14:paraId="53B90991" w14:textId="77777777" w:rsidR="00F85498" w:rsidRDefault="00F85498" w:rsidP="00AB6F30">
            <w:pPr>
              <w:pStyle w:val="BulletList"/>
              <w:cnfStyle w:val="000000100000" w:firstRow="0" w:lastRow="0" w:firstColumn="0" w:lastColumn="0" w:oddVBand="0" w:evenVBand="0" w:oddHBand="1" w:evenHBand="0" w:firstRowFirstColumn="0" w:firstRowLastColumn="0" w:lastRowFirstColumn="0" w:lastRowLastColumn="0"/>
            </w:pPr>
            <w:r>
              <w:t>Does not knowingly and recklessly make a false or misleading disclosure (s. 24(1)).</w:t>
            </w:r>
          </w:p>
          <w:p w14:paraId="7CB0D983" w14:textId="77777777" w:rsidR="00F85498" w:rsidRDefault="00F85498" w:rsidP="00AB6F30">
            <w:pPr>
              <w:pStyle w:val="BulletList"/>
              <w:cnfStyle w:val="000000100000" w:firstRow="0" w:lastRow="0" w:firstColumn="0" w:lastColumn="0" w:oddVBand="0" w:evenVBand="0" w:oddHBand="1" w:evenHBand="0" w:firstRowFirstColumn="0" w:firstRowLastColumn="0" w:lastRowFirstColumn="0" w:lastRowLastColumn="0"/>
            </w:pPr>
            <w:r>
              <w:t>Maintains confidentiality of the information disclosed and the identity of the person(s) to whom the information relates, in accordance with the requirements of the PID Act (s. 16 and      s. 17(1)(b)).</w:t>
            </w:r>
          </w:p>
          <w:p w14:paraId="27956EA0" w14:textId="77777777" w:rsidR="00F85498" w:rsidRDefault="00F85498" w:rsidP="00AB6F30">
            <w:pPr>
              <w:pStyle w:val="BulletList"/>
              <w:cnfStyle w:val="000000100000" w:firstRow="0" w:lastRow="0" w:firstColumn="0" w:lastColumn="0" w:oddVBand="0" w:evenVBand="0" w:oddHBand="1" w:evenHBand="0" w:firstRowFirstColumn="0" w:firstRowLastColumn="0" w:lastRowFirstColumn="0" w:lastRowLastColumn="0"/>
            </w:pPr>
            <w:r>
              <w:t>Assists any person investigating the matter to which the disclosure relates by supplying the person with any information requested (s. 17(1)(a)).</w:t>
            </w:r>
          </w:p>
        </w:tc>
      </w:tr>
      <w:tr w:rsidR="00F85498" w14:paraId="12BE9993" w14:textId="77777777" w:rsidTr="00B31B73">
        <w:tc>
          <w:tcPr>
            <w:cnfStyle w:val="001000000000" w:firstRow="0" w:lastRow="0" w:firstColumn="1" w:lastColumn="0" w:oddVBand="0" w:evenVBand="0" w:oddHBand="0" w:evenHBand="0" w:firstRowFirstColumn="0" w:firstRowLastColumn="0" w:lastRowFirstColumn="0" w:lastRowLastColumn="0"/>
            <w:tcW w:w="3261" w:type="dxa"/>
          </w:tcPr>
          <w:p w14:paraId="67625AEB" w14:textId="77777777" w:rsidR="00F85498" w:rsidRPr="00D87B44" w:rsidRDefault="00F85498" w:rsidP="00F85498">
            <w:pPr>
              <w:jc w:val="both"/>
            </w:pPr>
            <w:r w:rsidRPr="00D87B44">
              <w:t>The subject of the disclosure (person about whom disclosure is made):</w:t>
            </w:r>
          </w:p>
        </w:tc>
        <w:tc>
          <w:tcPr>
            <w:tcW w:w="7196" w:type="dxa"/>
          </w:tcPr>
          <w:p w14:paraId="4346D33F" w14:textId="77777777" w:rsidR="00F85498" w:rsidRDefault="00F85498" w:rsidP="00AB6F30">
            <w:pPr>
              <w:pStyle w:val="BulletList"/>
              <w:cnfStyle w:val="000000000000" w:firstRow="0" w:lastRow="0" w:firstColumn="0" w:lastColumn="0" w:oddVBand="0" w:evenVBand="0" w:oddHBand="0" w:evenHBand="0" w:firstRowFirstColumn="0" w:firstRowLastColumn="0" w:lastRowFirstColumn="0" w:lastRowLastColumn="0"/>
            </w:pPr>
            <w:r>
              <w:t>Is afforded the opportunity to make a submission, either orally or in writing, in relation to the matter before preventative or disciplinary action is taken (s. 9(2)).</w:t>
            </w:r>
          </w:p>
          <w:p w14:paraId="0F22E49E" w14:textId="77777777" w:rsidR="00F85498" w:rsidRDefault="00F85498" w:rsidP="00AB6F30">
            <w:pPr>
              <w:pStyle w:val="BulletList"/>
              <w:cnfStyle w:val="000000000000" w:firstRow="0" w:lastRow="0" w:firstColumn="0" w:lastColumn="0" w:oddVBand="0" w:evenVBand="0" w:oddHBand="0" w:evenHBand="0" w:firstRowFirstColumn="0" w:firstRowLastColumn="0" w:lastRowFirstColumn="0" w:lastRowLastColumn="0"/>
            </w:pPr>
            <w:r>
              <w:t>Maintains confidentiality of the identity of the discloser, in accordance with the requirements of the PID Act (s. 16(1)).</w:t>
            </w:r>
          </w:p>
          <w:p w14:paraId="48A934E0" w14:textId="77777777" w:rsidR="00F85498" w:rsidRDefault="00F85498" w:rsidP="00AB6F30">
            <w:pPr>
              <w:pStyle w:val="BulletList"/>
              <w:cnfStyle w:val="000000000000" w:firstRow="0" w:lastRow="0" w:firstColumn="0" w:lastColumn="0" w:oddVBand="0" w:evenVBand="0" w:oddHBand="0" w:evenHBand="0" w:firstRowFirstColumn="0" w:firstRowLastColumn="0" w:lastRowFirstColumn="0" w:lastRowLastColumn="0"/>
            </w:pPr>
            <w:r>
              <w:t>Is to be treated in accordance with the rules of natural justice (s. 16(1)(b)).</w:t>
            </w:r>
          </w:p>
          <w:p w14:paraId="1E5E470D" w14:textId="77777777" w:rsidR="00F85498" w:rsidRDefault="00F85498" w:rsidP="00AB6F30">
            <w:pPr>
              <w:pStyle w:val="BulletList"/>
              <w:cnfStyle w:val="000000000000" w:firstRow="0" w:lastRow="0" w:firstColumn="0" w:lastColumn="0" w:oddVBand="0" w:evenVBand="0" w:oddHBand="0" w:evenHBand="0" w:firstRowFirstColumn="0" w:firstRowLastColumn="0" w:lastRowFirstColumn="0" w:lastRowLastColumn="0"/>
            </w:pPr>
            <w:r>
              <w:t>Does not take or threaten to take detrimental action (defined in s. 3) against a person because they have made or intend to make a disclosure (s. 14(1)).</w:t>
            </w:r>
          </w:p>
          <w:p w14:paraId="21D870C0" w14:textId="77777777" w:rsidR="00F85498" w:rsidRDefault="00F85498" w:rsidP="00AB6F30">
            <w:pPr>
              <w:pStyle w:val="BulletList"/>
              <w:cnfStyle w:val="000000000000" w:firstRow="0" w:lastRow="0" w:firstColumn="0" w:lastColumn="0" w:oddVBand="0" w:evenVBand="0" w:oddHBand="0" w:evenHBand="0" w:firstRowFirstColumn="0" w:firstRowLastColumn="0" w:lastRowFirstColumn="0" w:lastRowLastColumn="0"/>
            </w:pPr>
            <w:r>
              <w:t>Does not incite another person to take detrimental action against another because they have made or intend to make a disclosure (s. 14(2)).</w:t>
            </w:r>
          </w:p>
          <w:p w14:paraId="076A43FB" w14:textId="77777777" w:rsidR="00F85498" w:rsidRDefault="00F85498" w:rsidP="00AB6F30">
            <w:pPr>
              <w:pStyle w:val="BulletList"/>
              <w:cnfStyle w:val="000000000000" w:firstRow="0" w:lastRow="0" w:firstColumn="0" w:lastColumn="0" w:oddVBand="0" w:evenVBand="0" w:oddHBand="0" w:evenHBand="0" w:firstRowFirstColumn="0" w:firstRowLastColumn="0" w:lastRowFirstColumn="0" w:lastRowLastColumn="0"/>
            </w:pPr>
            <w:r>
              <w:t>Does not commit an act of victimisation by taking or threatening to take detrimental action against the person making or intending to make a disclosure (s. 15(1)).</w:t>
            </w:r>
          </w:p>
        </w:tc>
      </w:tr>
      <w:tr w:rsidR="00F85498" w14:paraId="6DC2260C" w14:textId="77777777" w:rsidTr="00B31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35166861" w14:textId="77777777" w:rsidR="00F85498" w:rsidRPr="00D87B44" w:rsidRDefault="00F85498" w:rsidP="00F85498">
            <w:pPr>
              <w:jc w:val="both"/>
            </w:pPr>
            <w:r w:rsidRPr="00D87B44">
              <w:t>An investigating officer:</w:t>
            </w:r>
          </w:p>
        </w:tc>
        <w:tc>
          <w:tcPr>
            <w:tcW w:w="7196" w:type="dxa"/>
          </w:tcPr>
          <w:p w14:paraId="37AF321F" w14:textId="44507CDA" w:rsidR="00F85498" w:rsidRDefault="00F85498" w:rsidP="00AB6F30">
            <w:pPr>
              <w:pStyle w:val="BulletList"/>
              <w:cnfStyle w:val="000000100000" w:firstRow="0" w:lastRow="0" w:firstColumn="0" w:lastColumn="0" w:oddVBand="0" w:evenVBand="0" w:oddHBand="1" w:evenHBand="0" w:firstRowFirstColumn="0" w:firstRowLastColumn="0" w:lastRowFirstColumn="0" w:lastRowLastColumn="0"/>
            </w:pPr>
            <w:r>
              <w:t xml:space="preserve">May investigate matters of public interest information on behalf of a proper authority of </w:t>
            </w:r>
            <w:r w:rsidR="0088774B">
              <w:t>the Shire</w:t>
            </w:r>
            <w:r>
              <w:t>, in accordance with the terms of reference given to them.</w:t>
            </w:r>
          </w:p>
          <w:p w14:paraId="5722A3C8" w14:textId="77777777" w:rsidR="00F85498" w:rsidRDefault="00F85498" w:rsidP="00AB6F30">
            <w:pPr>
              <w:pStyle w:val="BulletList"/>
              <w:cnfStyle w:val="000000100000" w:firstRow="0" w:lastRow="0" w:firstColumn="0" w:lastColumn="0" w:oddVBand="0" w:evenVBand="0" w:oddHBand="1" w:evenHBand="0" w:firstRowFirstColumn="0" w:firstRowLastColumn="0" w:lastRowFirstColumn="0" w:lastRowLastColumn="0"/>
            </w:pPr>
            <w:r>
              <w:t>Maintains confidentiality of the identity of the disclosure and any persons subject to the disclosure, in accordance with s. 16.</w:t>
            </w:r>
          </w:p>
          <w:p w14:paraId="66F2054C" w14:textId="77777777" w:rsidR="00F85498" w:rsidRDefault="00F85498" w:rsidP="00AB6F30">
            <w:pPr>
              <w:pStyle w:val="BulletList"/>
              <w:cnfStyle w:val="000000100000" w:firstRow="0" w:lastRow="0" w:firstColumn="0" w:lastColumn="0" w:oddVBand="0" w:evenVBand="0" w:oddHBand="1" w:evenHBand="0" w:firstRowFirstColumn="0" w:firstRowLastColumn="0" w:lastRowFirstColumn="0" w:lastRowLastColumn="0"/>
            </w:pPr>
            <w:r>
              <w:t>Makes, and keeps secure, comprehensive records of any investigation undertaken.</w:t>
            </w:r>
          </w:p>
        </w:tc>
      </w:tr>
    </w:tbl>
    <w:p w14:paraId="4C3A9AB6" w14:textId="77777777" w:rsidR="00F85498" w:rsidRDefault="00F85498" w:rsidP="00F85498">
      <w:pPr>
        <w:jc w:val="both"/>
      </w:pPr>
    </w:p>
    <w:p w14:paraId="7F4E17CC" w14:textId="77777777" w:rsidR="00F85498" w:rsidRDefault="00F85498" w:rsidP="00F85498">
      <w:pPr>
        <w:pStyle w:val="Heading1"/>
        <w:jc w:val="both"/>
      </w:pPr>
      <w:bookmarkStart w:id="4" w:name="_Toc508616411"/>
      <w:r>
        <w:t>E. Managing public interest disclosures</w:t>
      </w:r>
      <w:bookmarkEnd w:id="4"/>
    </w:p>
    <w:p w14:paraId="71F3EB96" w14:textId="228FC938" w:rsidR="00F85498" w:rsidRDefault="00F85498" w:rsidP="00F85498">
      <w:pPr>
        <w:jc w:val="both"/>
      </w:pPr>
      <w:r>
        <w:t xml:space="preserve">The following procedures describe how </w:t>
      </w:r>
      <w:r w:rsidR="0088774B">
        <w:t>the Shire</w:t>
      </w:r>
      <w:r>
        <w:t xml:space="preserve"> will manage the public interest disclosure process. </w:t>
      </w:r>
    </w:p>
    <w:p w14:paraId="35A1CAB6" w14:textId="77777777" w:rsidR="00F85498" w:rsidRDefault="00F85498" w:rsidP="008C16C9">
      <w:pPr>
        <w:pStyle w:val="Heading2"/>
        <w:numPr>
          <w:ilvl w:val="0"/>
          <w:numId w:val="0"/>
        </w:numPr>
      </w:pPr>
      <w:bookmarkStart w:id="5" w:name="_Toc508616412"/>
      <w:r>
        <w:t xml:space="preserve">Overarching requirements of the </w:t>
      </w:r>
      <w:r w:rsidRPr="00942420">
        <w:rPr>
          <w:i/>
        </w:rPr>
        <w:t>Public Interest Disclosure Act 2003</w:t>
      </w:r>
      <w:bookmarkEnd w:id="5"/>
    </w:p>
    <w:p w14:paraId="0EAB865D" w14:textId="000FFC30" w:rsidR="0088774B" w:rsidRDefault="00F85498" w:rsidP="0088774B">
      <w:pPr>
        <w:jc w:val="both"/>
      </w:pPr>
      <w:r>
        <w:t xml:space="preserve">The PID Act has some overarching requirements for handling disclosures. These requirements separate the public interest disclosure process from other reporting or complaint handling processes.  The PID Act does not, however, displace the notification or reporting requirements of the </w:t>
      </w:r>
      <w:r w:rsidRPr="00942420">
        <w:rPr>
          <w:i/>
        </w:rPr>
        <w:t>Corruption, Crime and Misconduct Act 2003</w:t>
      </w:r>
      <w:r>
        <w:t xml:space="preserve">, which are paramount.  The following section outlines how we will meet these requirements, as well as expectations of you, as a discloser, and any subject(s) of your disclosure.  </w:t>
      </w:r>
    </w:p>
    <w:p w14:paraId="004A6215" w14:textId="77777777" w:rsidR="0088774B" w:rsidRDefault="0088774B" w:rsidP="0088774B">
      <w:pPr>
        <w:spacing w:after="0"/>
        <w:jc w:val="both"/>
      </w:pPr>
    </w:p>
    <w:p w14:paraId="2E6F095F" w14:textId="16EC9F64" w:rsidR="00F85498" w:rsidRDefault="00F85498" w:rsidP="00A00740">
      <w:pPr>
        <w:pStyle w:val="Heading3"/>
        <w:numPr>
          <w:ilvl w:val="0"/>
          <w:numId w:val="0"/>
        </w:numPr>
      </w:pPr>
      <w:r>
        <w:t>What is ‘public interest information’?</w:t>
      </w:r>
    </w:p>
    <w:p w14:paraId="74C74D69" w14:textId="16E6442A" w:rsidR="00F85498" w:rsidRDefault="00F85498" w:rsidP="00AB6F30">
      <w:pPr>
        <w:spacing w:after="0" w:line="240" w:lineRule="auto"/>
        <w:jc w:val="both"/>
      </w:pPr>
      <w:r w:rsidRPr="00754E1E">
        <w:t xml:space="preserve">The PID Act only applies to disclosures of public interest information (defined in s. 3).  Public interest information means information that: </w:t>
      </w:r>
    </w:p>
    <w:p w14:paraId="1AD1BBF4" w14:textId="77777777" w:rsidR="00754E1E" w:rsidRPr="00754E1E" w:rsidRDefault="00754E1E" w:rsidP="00AB6F30">
      <w:pPr>
        <w:spacing w:after="0" w:line="240" w:lineRule="auto"/>
        <w:jc w:val="both"/>
      </w:pPr>
    </w:p>
    <w:p w14:paraId="1CF1B56D" w14:textId="65195169" w:rsidR="00F85498" w:rsidRPr="00AB6F30" w:rsidRDefault="00F85498" w:rsidP="00AB6F30">
      <w:pPr>
        <w:pStyle w:val="BulletList"/>
        <w:spacing w:before="0" w:after="0" w:line="240" w:lineRule="auto"/>
        <w:rPr>
          <w:i w:val="0"/>
          <w:iCs w:val="0"/>
          <w:sz w:val="22"/>
          <w:szCs w:val="22"/>
        </w:rPr>
      </w:pPr>
      <w:r w:rsidRPr="00AB6F30">
        <w:rPr>
          <w:i w:val="0"/>
          <w:iCs w:val="0"/>
          <w:sz w:val="22"/>
          <w:szCs w:val="22"/>
        </w:rPr>
        <w:t>relates to the performance of a public function by a public authority, public officer or public sector contractor (either before or after the commencement of the PID Act) and</w:t>
      </w:r>
    </w:p>
    <w:p w14:paraId="17552108" w14:textId="77777777" w:rsidR="00754E1E" w:rsidRPr="00AB6F30" w:rsidRDefault="00754E1E" w:rsidP="00AB6F30">
      <w:pPr>
        <w:pStyle w:val="BulletList"/>
        <w:numPr>
          <w:ilvl w:val="0"/>
          <w:numId w:val="0"/>
        </w:numPr>
        <w:spacing w:before="0" w:after="0" w:line="240" w:lineRule="auto"/>
        <w:ind w:left="284"/>
        <w:rPr>
          <w:i w:val="0"/>
          <w:iCs w:val="0"/>
          <w:sz w:val="22"/>
          <w:szCs w:val="22"/>
        </w:rPr>
      </w:pPr>
    </w:p>
    <w:p w14:paraId="45A18771" w14:textId="0617DAA0" w:rsidR="00754E1E" w:rsidRDefault="00F85498" w:rsidP="00AB6F30">
      <w:pPr>
        <w:pStyle w:val="BulletList"/>
        <w:spacing w:before="0" w:after="0" w:line="240" w:lineRule="auto"/>
        <w:rPr>
          <w:i w:val="0"/>
          <w:iCs w:val="0"/>
          <w:sz w:val="22"/>
          <w:szCs w:val="22"/>
        </w:rPr>
      </w:pPr>
      <w:r w:rsidRPr="00AB6F30">
        <w:rPr>
          <w:i w:val="0"/>
          <w:iCs w:val="0"/>
          <w:sz w:val="22"/>
          <w:szCs w:val="22"/>
        </w:rPr>
        <w:t>shows or tends to show that a public authority, a public officer, or a public sector contractor is, has been or proposes to be involved in</w:t>
      </w:r>
    </w:p>
    <w:p w14:paraId="5C2AE48C" w14:textId="77777777" w:rsidR="00AB6F30" w:rsidRPr="00AB6F30" w:rsidRDefault="00AB6F30" w:rsidP="00AB6F30">
      <w:pPr>
        <w:pStyle w:val="BulletList"/>
        <w:numPr>
          <w:ilvl w:val="0"/>
          <w:numId w:val="0"/>
        </w:numPr>
        <w:spacing w:before="0" w:after="0" w:line="240" w:lineRule="auto"/>
        <w:rPr>
          <w:i w:val="0"/>
          <w:iCs w:val="0"/>
          <w:sz w:val="22"/>
          <w:szCs w:val="22"/>
        </w:rPr>
      </w:pPr>
    </w:p>
    <w:p w14:paraId="7B2C0EA4" w14:textId="77777777" w:rsidR="00F85498" w:rsidRPr="00AB6F30" w:rsidRDefault="00F85498" w:rsidP="00AB6F30">
      <w:pPr>
        <w:pStyle w:val="BulletList"/>
        <w:numPr>
          <w:ilvl w:val="1"/>
          <w:numId w:val="19"/>
        </w:numPr>
        <w:spacing w:before="0" w:after="0" w:line="240" w:lineRule="auto"/>
        <w:rPr>
          <w:i w:val="0"/>
          <w:iCs w:val="0"/>
          <w:sz w:val="22"/>
          <w:szCs w:val="22"/>
        </w:rPr>
      </w:pPr>
      <w:r w:rsidRPr="00AB6F30">
        <w:rPr>
          <w:i w:val="0"/>
          <w:iCs w:val="0"/>
          <w:sz w:val="22"/>
          <w:szCs w:val="22"/>
        </w:rPr>
        <w:t xml:space="preserve">improper conduct or </w:t>
      </w:r>
    </w:p>
    <w:p w14:paraId="643A9EB0" w14:textId="77777777" w:rsidR="00F85498" w:rsidRPr="00AB6F30" w:rsidRDefault="00F85498" w:rsidP="00AB6F30">
      <w:pPr>
        <w:pStyle w:val="BulletList"/>
        <w:numPr>
          <w:ilvl w:val="1"/>
          <w:numId w:val="19"/>
        </w:numPr>
        <w:spacing w:before="0" w:after="0" w:line="240" w:lineRule="auto"/>
        <w:rPr>
          <w:i w:val="0"/>
          <w:iCs w:val="0"/>
          <w:sz w:val="22"/>
          <w:szCs w:val="22"/>
        </w:rPr>
      </w:pPr>
      <w:r w:rsidRPr="00AB6F30">
        <w:rPr>
          <w:i w:val="0"/>
          <w:iCs w:val="0"/>
          <w:sz w:val="22"/>
          <w:szCs w:val="22"/>
        </w:rPr>
        <w:t xml:space="preserve">an act or omission that constitutes an offence under a written (State) law or </w:t>
      </w:r>
    </w:p>
    <w:p w14:paraId="37E6C28B" w14:textId="77777777" w:rsidR="00F85498" w:rsidRPr="00AB6F30" w:rsidRDefault="00F85498" w:rsidP="00AB6F30">
      <w:pPr>
        <w:pStyle w:val="BulletList"/>
        <w:numPr>
          <w:ilvl w:val="1"/>
          <w:numId w:val="19"/>
        </w:numPr>
        <w:spacing w:before="0" w:after="0" w:line="240" w:lineRule="auto"/>
        <w:rPr>
          <w:i w:val="0"/>
          <w:iCs w:val="0"/>
          <w:sz w:val="22"/>
          <w:szCs w:val="22"/>
        </w:rPr>
      </w:pPr>
      <w:r w:rsidRPr="00AB6F30">
        <w:rPr>
          <w:i w:val="0"/>
          <w:iCs w:val="0"/>
          <w:sz w:val="22"/>
          <w:szCs w:val="22"/>
        </w:rPr>
        <w:t xml:space="preserve">substantial unauthorised or irregular use of, or substantial mismanagement of, public resources or </w:t>
      </w:r>
    </w:p>
    <w:p w14:paraId="2AC22AF6" w14:textId="77777777" w:rsidR="00F85498" w:rsidRPr="00AB6F30" w:rsidRDefault="00F85498" w:rsidP="00AB6F30">
      <w:pPr>
        <w:pStyle w:val="BulletList"/>
        <w:numPr>
          <w:ilvl w:val="1"/>
          <w:numId w:val="19"/>
        </w:numPr>
        <w:spacing w:before="0" w:after="0" w:line="240" w:lineRule="auto"/>
        <w:rPr>
          <w:i w:val="0"/>
          <w:iCs w:val="0"/>
          <w:sz w:val="22"/>
          <w:szCs w:val="22"/>
        </w:rPr>
      </w:pPr>
      <w:r w:rsidRPr="00AB6F30">
        <w:rPr>
          <w:i w:val="0"/>
          <w:iCs w:val="0"/>
          <w:sz w:val="22"/>
          <w:szCs w:val="22"/>
        </w:rPr>
        <w:t xml:space="preserve">an act done or omission that involves a substantial and specific risk of </w:t>
      </w:r>
    </w:p>
    <w:p w14:paraId="75F6D862" w14:textId="77777777" w:rsidR="00F85498" w:rsidRPr="00AB6F30" w:rsidRDefault="00F85498" w:rsidP="00AB6F30">
      <w:pPr>
        <w:pStyle w:val="BulletList"/>
        <w:numPr>
          <w:ilvl w:val="1"/>
          <w:numId w:val="19"/>
        </w:numPr>
        <w:spacing w:before="0" w:after="0" w:line="240" w:lineRule="auto"/>
        <w:rPr>
          <w:i w:val="0"/>
          <w:iCs w:val="0"/>
          <w:sz w:val="22"/>
          <w:szCs w:val="22"/>
        </w:rPr>
      </w:pPr>
      <w:r w:rsidRPr="00AB6F30">
        <w:rPr>
          <w:i w:val="0"/>
          <w:iCs w:val="0"/>
          <w:sz w:val="22"/>
          <w:szCs w:val="22"/>
        </w:rPr>
        <w:t xml:space="preserve">injury to public health or </w:t>
      </w:r>
    </w:p>
    <w:p w14:paraId="19D83093" w14:textId="77777777" w:rsidR="00F85498" w:rsidRPr="00AB6F30" w:rsidRDefault="00F85498" w:rsidP="00AB6F30">
      <w:pPr>
        <w:pStyle w:val="BulletList"/>
        <w:numPr>
          <w:ilvl w:val="1"/>
          <w:numId w:val="19"/>
        </w:numPr>
        <w:spacing w:before="0" w:after="0" w:line="240" w:lineRule="auto"/>
        <w:rPr>
          <w:i w:val="0"/>
          <w:iCs w:val="0"/>
          <w:sz w:val="22"/>
          <w:szCs w:val="22"/>
        </w:rPr>
      </w:pPr>
      <w:r w:rsidRPr="00AB6F30">
        <w:rPr>
          <w:i w:val="0"/>
          <w:iCs w:val="0"/>
          <w:sz w:val="22"/>
          <w:szCs w:val="22"/>
        </w:rPr>
        <w:t xml:space="preserve">prejudice to public safety or </w:t>
      </w:r>
    </w:p>
    <w:p w14:paraId="15CC2C61" w14:textId="244174BD" w:rsidR="00F85498" w:rsidRPr="00AB6F30" w:rsidRDefault="00F85498" w:rsidP="00AB6F30">
      <w:pPr>
        <w:pStyle w:val="BulletList"/>
        <w:numPr>
          <w:ilvl w:val="1"/>
          <w:numId w:val="19"/>
        </w:numPr>
        <w:spacing w:before="0" w:after="0" w:line="240" w:lineRule="auto"/>
        <w:rPr>
          <w:i w:val="0"/>
          <w:iCs w:val="0"/>
          <w:sz w:val="22"/>
          <w:szCs w:val="22"/>
        </w:rPr>
      </w:pPr>
      <w:r w:rsidRPr="00AB6F30">
        <w:rPr>
          <w:i w:val="0"/>
          <w:iCs w:val="0"/>
          <w:sz w:val="22"/>
          <w:szCs w:val="22"/>
        </w:rPr>
        <w:t xml:space="preserve">harm to the environment or </w:t>
      </w:r>
    </w:p>
    <w:p w14:paraId="7E283C91" w14:textId="77777777" w:rsidR="00754E1E" w:rsidRPr="00AB6F30" w:rsidRDefault="00754E1E" w:rsidP="00AB6F30">
      <w:pPr>
        <w:pStyle w:val="BulletList"/>
        <w:numPr>
          <w:ilvl w:val="0"/>
          <w:numId w:val="0"/>
        </w:numPr>
        <w:spacing w:before="0" w:after="0" w:line="240" w:lineRule="auto"/>
        <w:ind w:left="2520"/>
        <w:rPr>
          <w:i w:val="0"/>
          <w:iCs w:val="0"/>
          <w:sz w:val="22"/>
          <w:szCs w:val="22"/>
        </w:rPr>
      </w:pPr>
    </w:p>
    <w:p w14:paraId="54CF48D3" w14:textId="77777777" w:rsidR="00F85498" w:rsidRPr="00AB6F30" w:rsidRDefault="00F85498" w:rsidP="00AB6F30">
      <w:pPr>
        <w:pStyle w:val="BulletList"/>
        <w:spacing w:before="0" w:after="0" w:line="240" w:lineRule="auto"/>
        <w:rPr>
          <w:i w:val="0"/>
          <w:iCs w:val="0"/>
          <w:sz w:val="22"/>
          <w:szCs w:val="22"/>
        </w:rPr>
      </w:pPr>
      <w:r w:rsidRPr="00AB6F30">
        <w:rPr>
          <w:i w:val="0"/>
          <w:iCs w:val="0"/>
          <w:sz w:val="22"/>
          <w:szCs w:val="22"/>
        </w:rPr>
        <w:t>a matter of administration that can be investigated under section 14 of the Parliamentary Commissioner Act 1971 by the Parliamentary Commissioner (Ombudsman Western Australia).</w:t>
      </w:r>
    </w:p>
    <w:p w14:paraId="2F299A59" w14:textId="77777777" w:rsidR="00F85498" w:rsidRPr="00AB6F30" w:rsidRDefault="00F85498" w:rsidP="00AB6F30">
      <w:pPr>
        <w:spacing w:after="0" w:line="240" w:lineRule="auto"/>
        <w:jc w:val="both"/>
        <w:rPr>
          <w:sz w:val="20"/>
          <w:szCs w:val="20"/>
        </w:rPr>
      </w:pPr>
      <w:r w:rsidRPr="00AB6F30">
        <w:rPr>
          <w:sz w:val="20"/>
          <w:szCs w:val="20"/>
        </w:rPr>
        <w:br w:type="page"/>
      </w:r>
    </w:p>
    <w:p w14:paraId="6A131E0C" w14:textId="77777777" w:rsidR="00F85498" w:rsidRDefault="00F85498" w:rsidP="00A00740">
      <w:pPr>
        <w:pStyle w:val="Heading3"/>
        <w:numPr>
          <w:ilvl w:val="0"/>
          <w:numId w:val="0"/>
        </w:numPr>
      </w:pPr>
      <w:r>
        <w:t>Confidentiality</w:t>
      </w:r>
    </w:p>
    <w:p w14:paraId="7A74AAC4" w14:textId="10537C92" w:rsidR="00F85498" w:rsidRDefault="00F85498" w:rsidP="00AB6F30">
      <w:pPr>
        <w:spacing w:after="0" w:line="240" w:lineRule="auto"/>
        <w:jc w:val="both"/>
      </w:pPr>
      <w:r>
        <w:t>Maintaining confidentiality is an important part of managing a disclosure. The confidentiality requirements of the PID Act (s. 16) not only protects the discloser, but also any other people affected by the disclosure.</w:t>
      </w:r>
    </w:p>
    <w:p w14:paraId="6DDEB544" w14:textId="77777777" w:rsidR="00AB6F30" w:rsidRDefault="00AB6F30" w:rsidP="00AB6F30">
      <w:pPr>
        <w:spacing w:after="0" w:line="240" w:lineRule="auto"/>
        <w:jc w:val="both"/>
      </w:pPr>
    </w:p>
    <w:p w14:paraId="68C81D6F" w14:textId="3461B17E" w:rsidR="00F85498" w:rsidRDefault="00F85498" w:rsidP="00AB6F30">
      <w:pPr>
        <w:spacing w:after="0" w:line="240" w:lineRule="auto"/>
        <w:jc w:val="both"/>
      </w:pPr>
      <w:r>
        <w:t xml:space="preserve">The confidentiality requirements do not apply to all information in a disclosure, although, we are committed to maintaining confidentiality around: </w:t>
      </w:r>
    </w:p>
    <w:p w14:paraId="22E30578" w14:textId="77777777" w:rsidR="00AB6F30" w:rsidRDefault="00AB6F30" w:rsidP="00AB6F30">
      <w:pPr>
        <w:spacing w:after="0" w:line="240" w:lineRule="auto"/>
        <w:jc w:val="both"/>
      </w:pPr>
    </w:p>
    <w:p w14:paraId="601E0B75" w14:textId="32CF0F9C" w:rsidR="00F85498" w:rsidRDefault="00F85498" w:rsidP="00AB6F30">
      <w:pPr>
        <w:pStyle w:val="BulletList"/>
        <w:spacing w:before="0" w:after="0" w:line="240" w:lineRule="auto"/>
        <w:rPr>
          <w:i w:val="0"/>
          <w:iCs w:val="0"/>
          <w:sz w:val="22"/>
          <w:szCs w:val="22"/>
        </w:rPr>
      </w:pPr>
      <w:r w:rsidRPr="00AB6F30">
        <w:rPr>
          <w:i w:val="0"/>
          <w:iCs w:val="0"/>
          <w:sz w:val="22"/>
          <w:szCs w:val="22"/>
        </w:rPr>
        <w:t>any information that may identify the discloser or any person who may be the subject of a disclosure, including the fact a disclosure has been made</w:t>
      </w:r>
    </w:p>
    <w:p w14:paraId="4C96959C" w14:textId="77777777" w:rsidR="00AB6F30" w:rsidRPr="00AB6F30" w:rsidRDefault="00AB6F30" w:rsidP="00AB6F30">
      <w:pPr>
        <w:pStyle w:val="BulletList"/>
        <w:numPr>
          <w:ilvl w:val="0"/>
          <w:numId w:val="0"/>
        </w:numPr>
        <w:spacing w:before="0" w:after="0" w:line="240" w:lineRule="auto"/>
        <w:ind w:left="284"/>
        <w:rPr>
          <w:i w:val="0"/>
          <w:iCs w:val="0"/>
          <w:sz w:val="22"/>
          <w:szCs w:val="22"/>
        </w:rPr>
      </w:pPr>
    </w:p>
    <w:p w14:paraId="7BAA6310" w14:textId="5476CD29" w:rsidR="00F85498" w:rsidRDefault="00F85498" w:rsidP="00AB6F30">
      <w:pPr>
        <w:pStyle w:val="BulletList"/>
        <w:spacing w:before="0" w:after="0" w:line="240" w:lineRule="auto"/>
        <w:rPr>
          <w:i w:val="0"/>
          <w:iCs w:val="0"/>
          <w:sz w:val="22"/>
          <w:szCs w:val="22"/>
        </w:rPr>
      </w:pPr>
      <w:r w:rsidRPr="00AB6F30">
        <w:rPr>
          <w:i w:val="0"/>
          <w:iCs w:val="0"/>
          <w:sz w:val="22"/>
          <w:szCs w:val="22"/>
        </w:rPr>
        <w:t>information relating to a disclosure that, if known, may cause detriment.</w:t>
      </w:r>
    </w:p>
    <w:p w14:paraId="6CA972DC" w14:textId="77777777" w:rsidR="00AB6F30" w:rsidRPr="00AB6F30" w:rsidRDefault="00AB6F30" w:rsidP="00AB6F30">
      <w:pPr>
        <w:pStyle w:val="BulletList"/>
        <w:numPr>
          <w:ilvl w:val="0"/>
          <w:numId w:val="0"/>
        </w:numPr>
        <w:spacing w:before="0" w:after="0" w:line="240" w:lineRule="auto"/>
        <w:rPr>
          <w:i w:val="0"/>
          <w:iCs w:val="0"/>
          <w:sz w:val="22"/>
          <w:szCs w:val="22"/>
        </w:rPr>
      </w:pPr>
    </w:p>
    <w:p w14:paraId="52A75BAA" w14:textId="4A016CCA" w:rsidR="00F85498" w:rsidRDefault="00F85498" w:rsidP="00AB6F30">
      <w:pPr>
        <w:spacing w:after="0" w:line="240" w:lineRule="auto"/>
        <w:jc w:val="both"/>
      </w:pPr>
      <w:r>
        <w:t xml:space="preserve">Throughout the disclosure process and after its completion, the PID Act provides for the disclosers identity and the identity of any persons, that is, any subject of the disclosure to be kept confidential, except in certain circumstances. Disclosing information which might identify, or tend to identify the disclosers s. 16(1)) or any person, that is, the subject(s) (s. 16(3)) of your disclosure, except in accordance with the PID Act, is an offence punishable with a penalty of a $24 000 fine or imprisonment for two years. </w:t>
      </w:r>
    </w:p>
    <w:p w14:paraId="33B74DF6" w14:textId="77777777" w:rsidR="00754E1E" w:rsidRDefault="00754E1E" w:rsidP="00F85498">
      <w:pPr>
        <w:jc w:val="both"/>
      </w:pPr>
    </w:p>
    <w:p w14:paraId="79747686" w14:textId="77777777" w:rsidR="00F85498" w:rsidRDefault="00F85498" w:rsidP="00A00740">
      <w:pPr>
        <w:pStyle w:val="Heading3"/>
        <w:numPr>
          <w:ilvl w:val="0"/>
          <w:numId w:val="0"/>
        </w:numPr>
      </w:pPr>
      <w:r>
        <w:t>Confidentiality regarding the discloser</w:t>
      </w:r>
    </w:p>
    <w:p w14:paraId="03F3F6DB" w14:textId="35B96883" w:rsidR="00F85498" w:rsidRDefault="00F85498" w:rsidP="00AB6F30">
      <w:pPr>
        <w:spacing w:after="0" w:line="240" w:lineRule="auto"/>
        <w:jc w:val="both"/>
      </w:pPr>
      <w:r>
        <w:t>Maintaining confidentiality is an important part of protecting the discloser, from any detrimental action in reprisal for making or intending to make a disclosure.</w:t>
      </w:r>
    </w:p>
    <w:p w14:paraId="24EB4049" w14:textId="77777777" w:rsidR="00AB6F30" w:rsidRDefault="00AB6F30" w:rsidP="00AB6F30">
      <w:pPr>
        <w:spacing w:after="0" w:line="240" w:lineRule="auto"/>
        <w:jc w:val="both"/>
      </w:pPr>
    </w:p>
    <w:p w14:paraId="4151F2EB" w14:textId="774D825E" w:rsidR="00F85498" w:rsidRDefault="00F85498" w:rsidP="00AB6F30">
      <w:pPr>
        <w:spacing w:after="0" w:line="240" w:lineRule="auto"/>
        <w:jc w:val="both"/>
        <w:rPr>
          <w:b/>
          <w:bCs/>
        </w:rPr>
      </w:pPr>
      <w:r>
        <w:t xml:space="preserve">If the discloser consents to having their identity revealed to assist us in dealing with the disclosure, our PID Officer will record this using the </w:t>
      </w:r>
      <w:r w:rsidRPr="00754E1E">
        <w:rPr>
          <w:b/>
          <w:bCs/>
        </w:rPr>
        <w:t>Consent to disclosure of identifying information form.</w:t>
      </w:r>
    </w:p>
    <w:p w14:paraId="738F5299" w14:textId="77777777" w:rsidR="00AB6F30" w:rsidRDefault="00AB6F30" w:rsidP="00AB6F30">
      <w:pPr>
        <w:spacing w:after="0" w:line="240" w:lineRule="auto"/>
        <w:jc w:val="both"/>
      </w:pPr>
    </w:p>
    <w:p w14:paraId="7FE10685" w14:textId="7C474EAE" w:rsidR="00F85498" w:rsidRDefault="00F85498" w:rsidP="00AB6F30">
      <w:pPr>
        <w:spacing w:after="0" w:line="240" w:lineRule="auto"/>
        <w:jc w:val="both"/>
      </w:pPr>
      <w:r>
        <w:t>Sometimes we may need to identify the discloser, without the discloser’s consent s. 16(1)(b)-(f) but only where:</w:t>
      </w:r>
    </w:p>
    <w:p w14:paraId="56A265D1" w14:textId="77777777" w:rsidR="00AB6F30" w:rsidRDefault="00AB6F30" w:rsidP="00AB6F30">
      <w:pPr>
        <w:spacing w:after="0" w:line="240" w:lineRule="auto"/>
        <w:jc w:val="both"/>
      </w:pPr>
    </w:p>
    <w:p w14:paraId="76C424C2" w14:textId="77777777" w:rsidR="00F85498" w:rsidRPr="00AB6F30" w:rsidRDefault="00F85498" w:rsidP="00AB6F30">
      <w:pPr>
        <w:pStyle w:val="BulletList"/>
        <w:spacing w:before="120" w:after="0" w:line="240" w:lineRule="auto"/>
        <w:rPr>
          <w:i w:val="0"/>
          <w:iCs w:val="0"/>
          <w:sz w:val="22"/>
          <w:szCs w:val="22"/>
        </w:rPr>
      </w:pPr>
      <w:r w:rsidRPr="00AB6F30">
        <w:rPr>
          <w:i w:val="0"/>
          <w:iCs w:val="0"/>
          <w:sz w:val="22"/>
          <w:szCs w:val="22"/>
        </w:rPr>
        <w:t xml:space="preserve">it is necessary to do so having regard to the rules of natural justice or </w:t>
      </w:r>
    </w:p>
    <w:p w14:paraId="5DC31DD6" w14:textId="77777777" w:rsidR="00F85498" w:rsidRPr="00AB6F30" w:rsidRDefault="00F85498" w:rsidP="00AB6F30">
      <w:pPr>
        <w:pStyle w:val="BulletList"/>
        <w:spacing w:before="120" w:after="0" w:line="240" w:lineRule="auto"/>
        <w:rPr>
          <w:i w:val="0"/>
          <w:iCs w:val="0"/>
          <w:sz w:val="22"/>
          <w:szCs w:val="22"/>
        </w:rPr>
      </w:pPr>
      <w:r w:rsidRPr="00AB6F30">
        <w:rPr>
          <w:i w:val="0"/>
          <w:iCs w:val="0"/>
          <w:sz w:val="22"/>
          <w:szCs w:val="22"/>
        </w:rPr>
        <w:t>it is necessary to do so to enable the matter to be investigated effectively or</w:t>
      </w:r>
    </w:p>
    <w:p w14:paraId="215C8238" w14:textId="77777777" w:rsidR="00F85498" w:rsidRPr="00AB6F30" w:rsidRDefault="00F85498" w:rsidP="00AB6F30">
      <w:pPr>
        <w:pStyle w:val="BulletList"/>
        <w:spacing w:before="120" w:after="0" w:line="240" w:lineRule="auto"/>
        <w:rPr>
          <w:i w:val="0"/>
          <w:iCs w:val="0"/>
          <w:sz w:val="22"/>
          <w:szCs w:val="22"/>
        </w:rPr>
      </w:pPr>
      <w:r w:rsidRPr="00AB6F30">
        <w:rPr>
          <w:i w:val="0"/>
          <w:iCs w:val="0"/>
          <w:sz w:val="22"/>
          <w:szCs w:val="22"/>
        </w:rPr>
        <w:t>we are ordered by a court or any other person or body having authority to hear, receive or examine evidence or</w:t>
      </w:r>
    </w:p>
    <w:p w14:paraId="74FC7243" w14:textId="30D71038" w:rsidR="00F85498" w:rsidRPr="00AB6F30" w:rsidRDefault="00F85498" w:rsidP="00AB6F30">
      <w:pPr>
        <w:pStyle w:val="BulletList"/>
        <w:spacing w:before="120" w:after="0" w:line="240" w:lineRule="auto"/>
        <w:rPr>
          <w:i w:val="0"/>
          <w:iCs w:val="0"/>
          <w:sz w:val="22"/>
          <w:szCs w:val="22"/>
        </w:rPr>
      </w:pPr>
      <w:r w:rsidRPr="00AB6F30">
        <w:rPr>
          <w:i w:val="0"/>
          <w:iCs w:val="0"/>
          <w:sz w:val="22"/>
          <w:szCs w:val="22"/>
        </w:rPr>
        <w:t xml:space="preserve">we are required by ss.152 or 153 of the Corruption, Crime and Misconduct Act 2003. </w:t>
      </w:r>
    </w:p>
    <w:p w14:paraId="459604F7" w14:textId="77777777" w:rsidR="00754E1E" w:rsidRDefault="00754E1E" w:rsidP="00AB6F30">
      <w:pPr>
        <w:pStyle w:val="BulletList"/>
        <w:numPr>
          <w:ilvl w:val="0"/>
          <w:numId w:val="0"/>
        </w:numPr>
        <w:spacing w:before="0" w:after="0" w:line="240" w:lineRule="auto"/>
        <w:ind w:left="284"/>
      </w:pPr>
    </w:p>
    <w:p w14:paraId="13B85EF7" w14:textId="1EE6D0A9" w:rsidR="00F85498" w:rsidRDefault="00F85498" w:rsidP="00AB6F30">
      <w:pPr>
        <w:spacing w:after="0" w:line="240" w:lineRule="auto"/>
        <w:jc w:val="both"/>
      </w:pPr>
      <w:r>
        <w:t xml:space="preserve">Before we identify the discloser for any of the reasons above, our PID Officer will take all reasonable steps to inform the discloser that this will happen and the reasons why. Our PID Officer will use the </w:t>
      </w:r>
      <w:r w:rsidRPr="00754E1E">
        <w:rPr>
          <w:b/>
          <w:bCs/>
        </w:rPr>
        <w:t>Notification of disclosure of identifying information</w:t>
      </w:r>
      <w:r w:rsidRPr="00942420">
        <w:rPr>
          <w:color w:val="FF0000"/>
        </w:rPr>
        <w:t xml:space="preserve"> </w:t>
      </w:r>
      <w:r>
        <w:t xml:space="preserve">form to do this. </w:t>
      </w:r>
    </w:p>
    <w:p w14:paraId="17DFB345" w14:textId="77777777" w:rsidR="00AB6F30" w:rsidRDefault="00AB6F30" w:rsidP="00AB6F30">
      <w:pPr>
        <w:spacing w:after="0" w:line="240" w:lineRule="auto"/>
        <w:jc w:val="both"/>
      </w:pPr>
    </w:p>
    <w:p w14:paraId="231FEF7E" w14:textId="29CEBD88" w:rsidR="00F85498" w:rsidRDefault="00F85498" w:rsidP="00AB6F30">
      <w:pPr>
        <w:spacing w:after="0" w:line="240" w:lineRule="auto"/>
        <w:jc w:val="both"/>
      </w:pPr>
      <w:r>
        <w:t xml:space="preserve">If we need to provide information about the identity of the discloser to another person for the reasons above, our PID Officer will inform the other person that further disclosure to a third person may put them at risk of committing an offence. </w:t>
      </w:r>
    </w:p>
    <w:p w14:paraId="7B49D2B5" w14:textId="77777777" w:rsidR="00AB6F30" w:rsidRDefault="00AB6F30" w:rsidP="00AB6F30">
      <w:pPr>
        <w:spacing w:after="0" w:line="240" w:lineRule="auto"/>
        <w:jc w:val="both"/>
      </w:pPr>
    </w:p>
    <w:p w14:paraId="1B336C5F" w14:textId="3C4106B2" w:rsidR="00F85498" w:rsidRDefault="00F85498" w:rsidP="00AB6F30">
      <w:pPr>
        <w:spacing w:after="0" w:line="240" w:lineRule="auto"/>
        <w:jc w:val="both"/>
      </w:pPr>
      <w:r>
        <w:t>Our PID Officer will also consider whether it is necessary to inform any external investigator about the identity of the discloser. Where it is necessary to provide this identifying information, our PID Officer will notify as described above.</w:t>
      </w:r>
    </w:p>
    <w:p w14:paraId="1ED149D0" w14:textId="77777777" w:rsidR="00F85498" w:rsidRDefault="00F85498" w:rsidP="00F85498">
      <w:pPr>
        <w:spacing w:after="0" w:line="240" w:lineRule="auto"/>
        <w:jc w:val="both"/>
      </w:pPr>
      <w:r>
        <w:br w:type="page"/>
      </w:r>
    </w:p>
    <w:p w14:paraId="5C061586" w14:textId="77777777" w:rsidR="00A00740" w:rsidRDefault="00A00740" w:rsidP="00F85498">
      <w:pPr>
        <w:jc w:val="both"/>
      </w:pPr>
    </w:p>
    <w:p w14:paraId="3234B299" w14:textId="77777777" w:rsidR="00F85498" w:rsidRDefault="00F85498" w:rsidP="00A00740">
      <w:pPr>
        <w:pStyle w:val="Heading3"/>
        <w:numPr>
          <w:ilvl w:val="0"/>
          <w:numId w:val="0"/>
        </w:numPr>
      </w:pPr>
      <w:r>
        <w:t>Confidentiality regarding the person, that is, the subject of the disclosure</w:t>
      </w:r>
    </w:p>
    <w:p w14:paraId="2AB45B8B" w14:textId="634EE887" w:rsidR="00F85498" w:rsidRPr="00AB6F30" w:rsidRDefault="00F85498" w:rsidP="00AB6F30">
      <w:pPr>
        <w:spacing w:after="0" w:line="240" w:lineRule="auto"/>
        <w:jc w:val="both"/>
      </w:pPr>
      <w:r w:rsidRPr="00AB6F30">
        <w:t xml:space="preserve">The subject of a disclosure may consent to having their identity revealed to assist with the disclosure process s. 16(3)(a). Our PID Officer will use the </w:t>
      </w:r>
      <w:r w:rsidRPr="00AB6F30">
        <w:rPr>
          <w:b/>
          <w:bCs/>
        </w:rPr>
        <w:t>Consent to disclosure of identifying information form</w:t>
      </w:r>
      <w:r w:rsidRPr="00AB6F30">
        <w:t xml:space="preserve"> to record this. </w:t>
      </w:r>
    </w:p>
    <w:p w14:paraId="653B76E1" w14:textId="77777777" w:rsidR="00AB6F30" w:rsidRPr="00AB6F30" w:rsidRDefault="00AB6F30" w:rsidP="00AB6F30">
      <w:pPr>
        <w:spacing w:after="0" w:line="240" w:lineRule="auto"/>
        <w:jc w:val="both"/>
      </w:pPr>
    </w:p>
    <w:p w14:paraId="6428B3AB" w14:textId="55DF1DF7" w:rsidR="00F85498" w:rsidRPr="00AB6F30" w:rsidRDefault="00F85498" w:rsidP="00AB6F30">
      <w:pPr>
        <w:spacing w:after="0" w:line="240" w:lineRule="auto"/>
        <w:jc w:val="both"/>
      </w:pPr>
      <w:r w:rsidRPr="00AB6F30">
        <w:t xml:space="preserve">Additionally, we may need to reveal identifying information about the subject(s) of a disclosure without their consent, ss. 16(3)(b)-(g) where: </w:t>
      </w:r>
    </w:p>
    <w:p w14:paraId="6B8D5FE6" w14:textId="77777777" w:rsidR="00AB6F30" w:rsidRPr="00AB6F30" w:rsidRDefault="00AB6F30" w:rsidP="00AB6F30">
      <w:pPr>
        <w:spacing w:after="0" w:line="240" w:lineRule="auto"/>
        <w:jc w:val="both"/>
      </w:pPr>
    </w:p>
    <w:p w14:paraId="131B1BCB" w14:textId="6309E8C3" w:rsidR="00AB6F30" w:rsidRPr="00AB6F30" w:rsidRDefault="00F85498" w:rsidP="00AB6F30">
      <w:pPr>
        <w:pStyle w:val="ListParagraph"/>
        <w:numPr>
          <w:ilvl w:val="0"/>
          <w:numId w:val="22"/>
        </w:numPr>
        <w:spacing w:before="120" w:after="0" w:line="240" w:lineRule="auto"/>
        <w:ind w:left="284" w:hanging="284"/>
        <w:jc w:val="both"/>
      </w:pPr>
      <w:r w:rsidRPr="00AB6F30">
        <w:t xml:space="preserve">it is necessary to do so to enable the matter to be investigated effectively </w:t>
      </w:r>
    </w:p>
    <w:p w14:paraId="6D485780" w14:textId="77777777" w:rsidR="00F85498" w:rsidRPr="00AB6F30" w:rsidRDefault="00F85498" w:rsidP="00AB6F30">
      <w:pPr>
        <w:pStyle w:val="BulletList"/>
        <w:spacing w:before="120" w:after="0" w:line="240" w:lineRule="auto"/>
        <w:rPr>
          <w:i w:val="0"/>
          <w:iCs w:val="0"/>
          <w:sz w:val="22"/>
          <w:szCs w:val="22"/>
        </w:rPr>
      </w:pPr>
      <w:r w:rsidRPr="00AB6F30">
        <w:rPr>
          <w:i w:val="0"/>
          <w:iCs w:val="0"/>
          <w:sz w:val="22"/>
          <w:szCs w:val="22"/>
        </w:rPr>
        <w:t xml:space="preserve">it is necessary to do so in the course of taking action under s. 9 </w:t>
      </w:r>
    </w:p>
    <w:p w14:paraId="0B51B420" w14:textId="77777777" w:rsidR="00F85498" w:rsidRPr="00AB6F30" w:rsidRDefault="00F85498" w:rsidP="00AB6F30">
      <w:pPr>
        <w:pStyle w:val="BulletList"/>
        <w:spacing w:before="120" w:after="0" w:line="240" w:lineRule="auto"/>
        <w:rPr>
          <w:i w:val="0"/>
          <w:iCs w:val="0"/>
          <w:sz w:val="22"/>
          <w:szCs w:val="22"/>
        </w:rPr>
      </w:pPr>
      <w:r w:rsidRPr="00AB6F30">
        <w:rPr>
          <w:i w:val="0"/>
          <w:iCs w:val="0"/>
          <w:sz w:val="22"/>
          <w:szCs w:val="22"/>
        </w:rPr>
        <w:t xml:space="preserve">there are reasonable grounds to believe that it is necessary to prevent or minimise the risk of injury to any person or damage to any property </w:t>
      </w:r>
    </w:p>
    <w:p w14:paraId="5877F562" w14:textId="77777777" w:rsidR="00F85498" w:rsidRPr="00AB6F30" w:rsidRDefault="00F85498" w:rsidP="00AB6F30">
      <w:pPr>
        <w:pStyle w:val="BulletList"/>
        <w:spacing w:before="120" w:after="0" w:line="240" w:lineRule="auto"/>
        <w:rPr>
          <w:i w:val="0"/>
          <w:iCs w:val="0"/>
          <w:sz w:val="22"/>
          <w:szCs w:val="22"/>
        </w:rPr>
      </w:pPr>
      <w:r w:rsidRPr="00AB6F30">
        <w:rPr>
          <w:i w:val="0"/>
          <w:iCs w:val="0"/>
          <w:sz w:val="22"/>
          <w:szCs w:val="22"/>
        </w:rPr>
        <w:t>we are ordered by a court or any other person or body having authority to hear, receive or examine evidence or</w:t>
      </w:r>
    </w:p>
    <w:p w14:paraId="0D0D8E91" w14:textId="08C9E708" w:rsidR="00F85498" w:rsidRPr="00AB6F30" w:rsidRDefault="00F85498" w:rsidP="00AB6F30">
      <w:pPr>
        <w:pStyle w:val="BulletList"/>
        <w:spacing w:before="120" w:after="0" w:line="240" w:lineRule="auto"/>
        <w:rPr>
          <w:i w:val="0"/>
          <w:iCs w:val="0"/>
          <w:sz w:val="22"/>
          <w:szCs w:val="22"/>
        </w:rPr>
      </w:pPr>
      <w:r w:rsidRPr="00AB6F30">
        <w:rPr>
          <w:i w:val="0"/>
          <w:iCs w:val="0"/>
          <w:sz w:val="22"/>
          <w:szCs w:val="22"/>
        </w:rPr>
        <w:t xml:space="preserve">we are required by ss. 152 or 153 of the Corruption, Crime and Misconduct Act 2003. </w:t>
      </w:r>
    </w:p>
    <w:p w14:paraId="44B0C492" w14:textId="77777777" w:rsidR="00AB6F30" w:rsidRPr="00AB6F30" w:rsidRDefault="00AB6F30" w:rsidP="00AB6F30">
      <w:pPr>
        <w:pStyle w:val="BulletList"/>
        <w:numPr>
          <w:ilvl w:val="0"/>
          <w:numId w:val="0"/>
        </w:numPr>
        <w:spacing w:before="0" w:after="0" w:line="240" w:lineRule="auto"/>
        <w:ind w:left="284"/>
        <w:rPr>
          <w:i w:val="0"/>
          <w:iCs w:val="0"/>
          <w:sz w:val="22"/>
          <w:szCs w:val="22"/>
        </w:rPr>
      </w:pPr>
    </w:p>
    <w:p w14:paraId="5C22FB9C" w14:textId="77777777" w:rsidR="00F85498" w:rsidRPr="00AB6F30" w:rsidRDefault="00F85498" w:rsidP="00AB6F30">
      <w:pPr>
        <w:spacing w:after="0" w:line="240" w:lineRule="auto"/>
        <w:jc w:val="both"/>
      </w:pPr>
      <w:r w:rsidRPr="00AB6F30">
        <w:t xml:space="preserve">There is no obligation to advise the subject of a disclosure that identifying information will be released.  </w:t>
      </w:r>
    </w:p>
    <w:p w14:paraId="2CF97477" w14:textId="77777777" w:rsidR="00A00740" w:rsidRDefault="00A00740" w:rsidP="00A00740">
      <w:pPr>
        <w:pStyle w:val="Heading3"/>
        <w:numPr>
          <w:ilvl w:val="0"/>
          <w:numId w:val="0"/>
        </w:numPr>
      </w:pPr>
    </w:p>
    <w:p w14:paraId="451B6C95" w14:textId="64E12947" w:rsidR="00F85498" w:rsidRDefault="00F85498" w:rsidP="00A00740">
      <w:pPr>
        <w:pStyle w:val="Heading3"/>
        <w:numPr>
          <w:ilvl w:val="0"/>
          <w:numId w:val="0"/>
        </w:numPr>
      </w:pPr>
      <w:r>
        <w:t>Protections</w:t>
      </w:r>
    </w:p>
    <w:p w14:paraId="482172F6" w14:textId="405867C8" w:rsidR="00F85498" w:rsidRDefault="00F85498" w:rsidP="00F85498">
      <w:pPr>
        <w:jc w:val="both"/>
      </w:pPr>
      <w:r>
        <w:t xml:space="preserve">The PID Act provides a range of protections for disclosers (Part 3). It also requires that our </w:t>
      </w:r>
      <w:r w:rsidR="00A00740">
        <w:t>Chief Executive Officer</w:t>
      </w:r>
      <w:r>
        <w:t xml:space="preserve"> provides protection for any employees who make disclosures (s. 23(1(b)).  </w:t>
      </w:r>
    </w:p>
    <w:p w14:paraId="4644113F" w14:textId="1531805C" w:rsidR="00F85498" w:rsidRDefault="00F85498" w:rsidP="00F85498">
      <w:pPr>
        <w:jc w:val="both"/>
      </w:pPr>
      <w:r>
        <w:t>Don’t be afraid to speak up contains general information about the protections provided by the PID Act. Our PID Officer will be able to expand on this information specific to</w:t>
      </w:r>
      <w:r w:rsidR="00A00740">
        <w:t xml:space="preserve"> the Shire</w:t>
      </w:r>
      <w:r>
        <w:t>.</w:t>
      </w:r>
    </w:p>
    <w:p w14:paraId="5CCBA5C6" w14:textId="65608446" w:rsidR="00F85498" w:rsidRDefault="00F85498" w:rsidP="008C16C9">
      <w:pPr>
        <w:spacing w:after="0" w:line="240" w:lineRule="auto"/>
        <w:jc w:val="both"/>
      </w:pPr>
      <w:r>
        <w:t xml:space="preserve">We are committed to ensuring that no detrimental action, including workplace reprisals by managers or other employees, occurs as a result of a person making a disclosure. If any of the above does occur, the discloser can request that we take action to protect them. Tell the PID Officer who is handling the disclosure immediately. </w:t>
      </w:r>
    </w:p>
    <w:p w14:paraId="42BF50BD" w14:textId="77777777" w:rsidR="008C16C9" w:rsidRDefault="008C16C9" w:rsidP="008C16C9">
      <w:pPr>
        <w:spacing w:after="0" w:line="240" w:lineRule="auto"/>
        <w:jc w:val="both"/>
      </w:pPr>
    </w:p>
    <w:p w14:paraId="0BA38E73" w14:textId="631D290F" w:rsidR="00F85498" w:rsidRDefault="00F85498" w:rsidP="00F85498">
      <w:pPr>
        <w:jc w:val="both"/>
      </w:pPr>
      <w:r>
        <w:t xml:space="preserve">The PID Act also provides that the discloser may lose the protections provided in s. 13 in some circumstances, including where they on-disclose information or fail, without reasonable excuse, to assist any person investigating the matters of the disclosure. </w:t>
      </w:r>
    </w:p>
    <w:p w14:paraId="70BD0494" w14:textId="77777777" w:rsidR="008C16C9" w:rsidRDefault="008C16C9" w:rsidP="00F85498">
      <w:pPr>
        <w:jc w:val="both"/>
      </w:pPr>
    </w:p>
    <w:p w14:paraId="1C9C8C60" w14:textId="77777777" w:rsidR="00F85498" w:rsidRDefault="00F85498" w:rsidP="00A00740">
      <w:pPr>
        <w:pStyle w:val="Heading3"/>
        <w:numPr>
          <w:ilvl w:val="0"/>
          <w:numId w:val="0"/>
        </w:numPr>
      </w:pPr>
      <w:r>
        <w:t>Notification requirements</w:t>
      </w:r>
    </w:p>
    <w:p w14:paraId="3CC1F400" w14:textId="7743101E" w:rsidR="00F85498" w:rsidRDefault="00610160" w:rsidP="00F85498">
      <w:pPr>
        <w:jc w:val="both"/>
      </w:pPr>
      <w:r>
        <w:t>The Manager Corporate Performance</w:t>
      </w:r>
      <w:r w:rsidR="00F85498">
        <w:t xml:space="preserve"> </w:t>
      </w:r>
      <w:r w:rsidR="00984AE8">
        <w:t xml:space="preserve">or Manager Legal and Governance </w:t>
      </w:r>
      <w:r w:rsidR="00F85498">
        <w:t xml:space="preserve">will ensure that we complete all reporting in accordance with the legislative and administrative requirements of the PID Act.  </w:t>
      </w:r>
    </w:p>
    <w:p w14:paraId="77BA7585" w14:textId="77777777" w:rsidR="00F85498" w:rsidRDefault="00F85498" w:rsidP="00F85498">
      <w:pPr>
        <w:jc w:val="both"/>
      </w:pPr>
      <w:r>
        <w:t xml:space="preserve">Provided it is not an anonymous disclosure, our PID Officer will provide the following reports: </w:t>
      </w:r>
    </w:p>
    <w:p w14:paraId="473B6122" w14:textId="77777777" w:rsidR="00F85498" w:rsidRPr="00AB6F30" w:rsidRDefault="00F85498" w:rsidP="00AB6F30">
      <w:pPr>
        <w:pStyle w:val="BulletList"/>
        <w:rPr>
          <w:i w:val="0"/>
          <w:iCs w:val="0"/>
          <w:sz w:val="22"/>
          <w:szCs w:val="22"/>
        </w:rPr>
      </w:pPr>
      <w:r w:rsidRPr="00AB6F30">
        <w:rPr>
          <w:i w:val="0"/>
          <w:iCs w:val="0"/>
          <w:sz w:val="22"/>
          <w:szCs w:val="22"/>
        </w:rPr>
        <w:t>within three months of making a disclosure, the action taken, or propose to take, in relation to the disclosure (s. 10(1))</w:t>
      </w:r>
    </w:p>
    <w:p w14:paraId="4C0A2BE5" w14:textId="77777777" w:rsidR="00F85498" w:rsidRPr="00AB6F30" w:rsidRDefault="00F85498" w:rsidP="00AB6F30">
      <w:pPr>
        <w:pStyle w:val="BulletList"/>
        <w:rPr>
          <w:i w:val="0"/>
          <w:iCs w:val="0"/>
          <w:sz w:val="22"/>
          <w:szCs w:val="22"/>
        </w:rPr>
      </w:pPr>
      <w:r w:rsidRPr="00AB6F30">
        <w:rPr>
          <w:i w:val="0"/>
          <w:iCs w:val="0"/>
          <w:sz w:val="22"/>
          <w:szCs w:val="22"/>
        </w:rPr>
        <w:t>when the disclosure process has concluded, the outcome of the investigation and the reasons for taking any action following the investigation (s. 10(4)).</w:t>
      </w:r>
    </w:p>
    <w:p w14:paraId="3D42C22A" w14:textId="77777777" w:rsidR="00F85498" w:rsidRDefault="00F85498" w:rsidP="00F85498">
      <w:pPr>
        <w:jc w:val="both"/>
      </w:pPr>
      <w:r>
        <w:t xml:space="preserve">Our PID Officer may also provide a progress report during any investigation, either on their initiative or upon your request (ss. 10(2) and (3)).  </w:t>
      </w:r>
    </w:p>
    <w:p w14:paraId="451F9428" w14:textId="77777777" w:rsidR="00F85498" w:rsidRDefault="00F85498" w:rsidP="00F85498">
      <w:pPr>
        <w:jc w:val="both"/>
      </w:pPr>
      <w:r>
        <w:t xml:space="preserve">Our PID Officer has some limits on what they can include in their reports. Section 11 prevents provision of information that would be likely to adversely affect: </w:t>
      </w:r>
    </w:p>
    <w:p w14:paraId="6783A6A2" w14:textId="77777777" w:rsidR="00F85498" w:rsidRPr="00AB6F30" w:rsidRDefault="00F85498" w:rsidP="00AB6F30">
      <w:pPr>
        <w:pStyle w:val="BulletList"/>
        <w:rPr>
          <w:i w:val="0"/>
          <w:iCs w:val="0"/>
          <w:sz w:val="22"/>
          <w:szCs w:val="22"/>
        </w:rPr>
      </w:pPr>
      <w:r w:rsidRPr="00AB6F30">
        <w:rPr>
          <w:i w:val="0"/>
          <w:iCs w:val="0"/>
          <w:sz w:val="22"/>
          <w:szCs w:val="22"/>
        </w:rPr>
        <w:t>any person’s safety s(1)(a) or</w:t>
      </w:r>
    </w:p>
    <w:p w14:paraId="409C8877" w14:textId="77777777" w:rsidR="00F85498" w:rsidRPr="00AB6F30" w:rsidRDefault="00F85498" w:rsidP="00AB6F30">
      <w:pPr>
        <w:pStyle w:val="BulletList"/>
        <w:rPr>
          <w:i w:val="0"/>
          <w:iCs w:val="0"/>
          <w:sz w:val="22"/>
          <w:szCs w:val="22"/>
        </w:rPr>
      </w:pPr>
      <w:r w:rsidRPr="00AB6F30">
        <w:rPr>
          <w:i w:val="0"/>
          <w:iCs w:val="0"/>
          <w:sz w:val="22"/>
          <w:szCs w:val="22"/>
        </w:rPr>
        <w:t xml:space="preserve">the investigation of an offence or possible offences s(1)(b) or </w:t>
      </w:r>
    </w:p>
    <w:p w14:paraId="502C217C" w14:textId="77777777" w:rsidR="00F85498" w:rsidRPr="00AB6F30" w:rsidRDefault="00F85498" w:rsidP="00AB6F30">
      <w:pPr>
        <w:pStyle w:val="BulletList"/>
        <w:rPr>
          <w:i w:val="0"/>
          <w:iCs w:val="0"/>
          <w:sz w:val="22"/>
          <w:szCs w:val="22"/>
        </w:rPr>
      </w:pPr>
      <w:r w:rsidRPr="00AB6F30">
        <w:rPr>
          <w:i w:val="0"/>
          <w:iCs w:val="0"/>
          <w:sz w:val="22"/>
          <w:szCs w:val="22"/>
        </w:rPr>
        <w:t xml:space="preserve">confidentiality as to the existence or identity of any other person who made a public interest disclosure s(1)(c). </w:t>
      </w:r>
    </w:p>
    <w:p w14:paraId="480D6D3C" w14:textId="77777777" w:rsidR="00F85498" w:rsidRDefault="00F85498" w:rsidP="00F85498">
      <w:pPr>
        <w:jc w:val="both"/>
      </w:pPr>
      <w:r>
        <w:t xml:space="preserve">Our PID Officer is also prevented from giving any information they must not disclose under ss. 151, 152 or 153 of the </w:t>
      </w:r>
      <w:r w:rsidRPr="00EC4EAF">
        <w:rPr>
          <w:i/>
        </w:rPr>
        <w:t>Corruption, Crime and Misconduct Act 2003</w:t>
      </w:r>
      <w:r>
        <w:t xml:space="preserve">.  </w:t>
      </w:r>
    </w:p>
    <w:p w14:paraId="236B90C3" w14:textId="77777777" w:rsidR="008C16C9" w:rsidRDefault="008C16C9" w:rsidP="00F85498">
      <w:pPr>
        <w:jc w:val="both"/>
        <w:rPr>
          <w:b/>
          <w:bCs/>
        </w:rPr>
      </w:pPr>
    </w:p>
    <w:p w14:paraId="462472CF" w14:textId="4F58F994" w:rsidR="00F85498" w:rsidRPr="00610160" w:rsidRDefault="00F85498" w:rsidP="00F85498">
      <w:pPr>
        <w:jc w:val="both"/>
        <w:rPr>
          <w:b/>
          <w:bCs/>
        </w:rPr>
      </w:pPr>
      <w:r w:rsidRPr="00610160">
        <w:rPr>
          <w:b/>
          <w:bCs/>
        </w:rPr>
        <w:t>Record keeping</w:t>
      </w:r>
    </w:p>
    <w:p w14:paraId="7F554B22" w14:textId="77777777" w:rsidR="00F85498" w:rsidRDefault="00F85498" w:rsidP="00F85498">
      <w:pPr>
        <w:jc w:val="both"/>
      </w:pPr>
      <w:r>
        <w:t>During the investigation our PID Officer may make comprehensive and contemporaneous records of any discussions and interviews.  These records along with any other documentation or files relating to the disclosure, whether paper or electronic, will be stored securely and only accessed by authorised persons.</w:t>
      </w:r>
    </w:p>
    <w:p w14:paraId="1703F570" w14:textId="75267DB0" w:rsidR="001F79F6" w:rsidRPr="00A013E0" w:rsidRDefault="001F79F6" w:rsidP="001F79F6">
      <w:pPr>
        <w:pStyle w:val="BodyText"/>
        <w:spacing w:line="249" w:lineRule="auto"/>
        <w:ind w:right="240"/>
        <w:jc w:val="both"/>
      </w:pPr>
      <w:r w:rsidRPr="00A013E0">
        <w:t xml:space="preserve">A separate file is to be made for each public interest disclosure under the security level </w:t>
      </w:r>
      <w:r w:rsidRPr="00A013E0">
        <w:rPr>
          <w:spacing w:val="-2"/>
        </w:rPr>
        <w:t>designated</w:t>
      </w:r>
      <w:r w:rsidRPr="00A013E0">
        <w:rPr>
          <w:spacing w:val="-6"/>
        </w:rPr>
        <w:t xml:space="preserve"> </w:t>
      </w:r>
      <w:r w:rsidRPr="00A013E0">
        <w:rPr>
          <w:spacing w:val="-2"/>
        </w:rPr>
        <w:t>in</w:t>
      </w:r>
      <w:r w:rsidRPr="00A013E0">
        <w:rPr>
          <w:spacing w:val="-11"/>
        </w:rPr>
        <w:t xml:space="preserve"> </w:t>
      </w:r>
      <w:r w:rsidRPr="00A013E0">
        <w:rPr>
          <w:spacing w:val="-2"/>
        </w:rPr>
        <w:t>the</w:t>
      </w:r>
      <w:r w:rsidRPr="00A013E0">
        <w:rPr>
          <w:spacing w:val="-6"/>
        </w:rPr>
        <w:t xml:space="preserve"> </w:t>
      </w:r>
      <w:r w:rsidRPr="00A013E0">
        <w:rPr>
          <w:spacing w:val="-2"/>
        </w:rPr>
        <w:t>Records</w:t>
      </w:r>
      <w:r w:rsidRPr="00A013E0">
        <w:rPr>
          <w:spacing w:val="-6"/>
        </w:rPr>
        <w:t xml:space="preserve"> </w:t>
      </w:r>
      <w:r w:rsidRPr="00A013E0">
        <w:rPr>
          <w:spacing w:val="-2"/>
        </w:rPr>
        <w:t>Security</w:t>
      </w:r>
      <w:r w:rsidRPr="00A013E0">
        <w:rPr>
          <w:spacing w:val="-6"/>
        </w:rPr>
        <w:t xml:space="preserve"> </w:t>
      </w:r>
      <w:r w:rsidRPr="00A013E0">
        <w:rPr>
          <w:spacing w:val="-2"/>
        </w:rPr>
        <w:t>Matrix.</w:t>
      </w:r>
      <w:r w:rsidRPr="00A013E0">
        <w:rPr>
          <w:spacing w:val="-6"/>
        </w:rPr>
        <w:t xml:space="preserve"> </w:t>
      </w:r>
      <w:r w:rsidRPr="00A013E0">
        <w:rPr>
          <w:spacing w:val="-2"/>
        </w:rPr>
        <w:t>Refer</w:t>
      </w:r>
      <w:r w:rsidRPr="00A013E0">
        <w:rPr>
          <w:spacing w:val="-6"/>
        </w:rPr>
        <w:t xml:space="preserve"> </w:t>
      </w:r>
      <w:r w:rsidRPr="00A013E0">
        <w:rPr>
          <w:spacing w:val="-2"/>
        </w:rPr>
        <w:t>to</w:t>
      </w:r>
      <w:r w:rsidRPr="00A013E0">
        <w:rPr>
          <w:spacing w:val="-4"/>
        </w:rPr>
        <w:t xml:space="preserve"> </w:t>
      </w:r>
      <w:r w:rsidRPr="00A013E0">
        <w:rPr>
          <w:spacing w:val="-2"/>
        </w:rPr>
        <w:t>the</w:t>
      </w:r>
      <w:r w:rsidRPr="00A013E0">
        <w:rPr>
          <w:spacing w:val="-9"/>
        </w:rPr>
        <w:t xml:space="preserve"> </w:t>
      </w:r>
      <w:r w:rsidRPr="00A013E0">
        <w:rPr>
          <w:spacing w:val="-2"/>
        </w:rPr>
        <w:t>Records</w:t>
      </w:r>
      <w:r w:rsidRPr="00A013E0">
        <w:rPr>
          <w:spacing w:val="-9"/>
        </w:rPr>
        <w:t xml:space="preserve"> </w:t>
      </w:r>
      <w:r w:rsidRPr="00A013E0">
        <w:rPr>
          <w:spacing w:val="-2"/>
        </w:rPr>
        <w:t>File</w:t>
      </w:r>
      <w:r w:rsidRPr="00A013E0">
        <w:rPr>
          <w:spacing w:val="-5"/>
        </w:rPr>
        <w:t xml:space="preserve"> </w:t>
      </w:r>
      <w:r w:rsidRPr="00A013E0">
        <w:rPr>
          <w:spacing w:val="-2"/>
        </w:rPr>
        <w:t>System Security</w:t>
      </w:r>
      <w:r w:rsidRPr="00A013E0">
        <w:rPr>
          <w:spacing w:val="-6"/>
        </w:rPr>
        <w:t xml:space="preserve"> </w:t>
      </w:r>
      <w:r w:rsidRPr="00A013E0">
        <w:rPr>
          <w:spacing w:val="-2"/>
        </w:rPr>
        <w:t xml:space="preserve">procedure </w:t>
      </w:r>
      <w:r w:rsidRPr="00A013E0">
        <w:t>and</w:t>
      </w:r>
      <w:r w:rsidRPr="00A013E0">
        <w:rPr>
          <w:spacing w:val="-6"/>
        </w:rPr>
        <w:t xml:space="preserve"> </w:t>
      </w:r>
      <w:r w:rsidRPr="00A013E0">
        <w:t>request</w:t>
      </w:r>
      <w:r w:rsidRPr="00A013E0">
        <w:rPr>
          <w:spacing w:val="-8"/>
        </w:rPr>
        <w:t xml:space="preserve"> </w:t>
      </w:r>
      <w:r w:rsidRPr="00A013E0">
        <w:t>the</w:t>
      </w:r>
      <w:r w:rsidRPr="00A013E0">
        <w:rPr>
          <w:spacing w:val="-8"/>
        </w:rPr>
        <w:t xml:space="preserve"> </w:t>
      </w:r>
      <w:r w:rsidRPr="00A013E0">
        <w:t>Records</w:t>
      </w:r>
      <w:r w:rsidRPr="00A013E0">
        <w:rPr>
          <w:spacing w:val="-12"/>
        </w:rPr>
        <w:t xml:space="preserve"> </w:t>
      </w:r>
      <w:r w:rsidRPr="00A013E0">
        <w:t>Management</w:t>
      </w:r>
      <w:r w:rsidRPr="00A013E0">
        <w:rPr>
          <w:spacing w:val="-8"/>
        </w:rPr>
        <w:t xml:space="preserve"> </w:t>
      </w:r>
      <w:r w:rsidRPr="00A013E0">
        <w:t>Officer</w:t>
      </w:r>
      <w:r w:rsidRPr="00A013E0">
        <w:rPr>
          <w:spacing w:val="-6"/>
        </w:rPr>
        <w:t xml:space="preserve"> </w:t>
      </w:r>
      <w:r w:rsidRPr="00A013E0">
        <w:t>to</w:t>
      </w:r>
      <w:r w:rsidRPr="00A013E0">
        <w:rPr>
          <w:spacing w:val="-11"/>
        </w:rPr>
        <w:t xml:space="preserve"> </w:t>
      </w:r>
      <w:r w:rsidRPr="00A013E0">
        <w:t>establish</w:t>
      </w:r>
      <w:r w:rsidRPr="00A013E0">
        <w:rPr>
          <w:spacing w:val="-7"/>
        </w:rPr>
        <w:t xml:space="preserve"> </w:t>
      </w:r>
      <w:r w:rsidRPr="00A013E0">
        <w:t>the</w:t>
      </w:r>
      <w:r w:rsidRPr="00A013E0">
        <w:rPr>
          <w:spacing w:val="-9"/>
        </w:rPr>
        <w:t xml:space="preserve"> </w:t>
      </w:r>
      <w:r w:rsidRPr="00A013E0">
        <w:t>file.</w:t>
      </w:r>
      <w:r w:rsidRPr="00A013E0">
        <w:rPr>
          <w:spacing w:val="40"/>
        </w:rPr>
        <w:t xml:space="preserve"> </w:t>
      </w:r>
      <w:r w:rsidRPr="00A013E0">
        <w:t>The</w:t>
      </w:r>
      <w:r w:rsidRPr="00A013E0">
        <w:rPr>
          <w:spacing w:val="-7"/>
        </w:rPr>
        <w:t xml:space="preserve"> </w:t>
      </w:r>
      <w:r w:rsidRPr="00A013E0">
        <w:t>file</w:t>
      </w:r>
      <w:r w:rsidRPr="00A013E0">
        <w:rPr>
          <w:spacing w:val="-8"/>
        </w:rPr>
        <w:t xml:space="preserve"> </w:t>
      </w:r>
      <w:r w:rsidRPr="00A013E0">
        <w:t>name</w:t>
      </w:r>
      <w:r w:rsidRPr="00A013E0">
        <w:rPr>
          <w:spacing w:val="-10"/>
        </w:rPr>
        <w:t xml:space="preserve"> </w:t>
      </w:r>
      <w:r w:rsidRPr="00A013E0">
        <w:t>is</w:t>
      </w:r>
      <w:r w:rsidRPr="00A013E0">
        <w:rPr>
          <w:spacing w:val="-6"/>
        </w:rPr>
        <w:t xml:space="preserve"> </w:t>
      </w:r>
      <w:r w:rsidRPr="00A013E0">
        <w:t>PID</w:t>
      </w:r>
      <w:r w:rsidRPr="00A013E0">
        <w:rPr>
          <w:spacing w:val="-8"/>
        </w:rPr>
        <w:t xml:space="preserve"> </w:t>
      </w:r>
      <w:r w:rsidRPr="00A013E0">
        <w:t>#</w:t>
      </w:r>
      <w:r w:rsidRPr="00A013E0">
        <w:rPr>
          <w:spacing w:val="40"/>
        </w:rPr>
        <w:t xml:space="preserve"> </w:t>
      </w:r>
      <w:r w:rsidRPr="00A013E0">
        <w:t>year e.g. PID 1 2022.</w:t>
      </w:r>
    </w:p>
    <w:p w14:paraId="0DEB784C" w14:textId="77777777" w:rsidR="001F79F6" w:rsidRPr="00A013E0" w:rsidRDefault="001F79F6" w:rsidP="001F79F6">
      <w:pPr>
        <w:pStyle w:val="BodyText"/>
        <w:spacing w:before="5"/>
        <w:rPr>
          <w:sz w:val="23"/>
        </w:rPr>
      </w:pPr>
    </w:p>
    <w:p w14:paraId="5396F1F5" w14:textId="2CCF9639" w:rsidR="001F79F6" w:rsidRPr="00A013E0" w:rsidRDefault="001F79F6" w:rsidP="001F79F6">
      <w:pPr>
        <w:pStyle w:val="BodyText"/>
        <w:spacing w:before="1" w:line="249" w:lineRule="auto"/>
        <w:ind w:right="240"/>
        <w:jc w:val="both"/>
      </w:pPr>
      <w:r w:rsidRPr="00A013E0">
        <w:t>All</w:t>
      </w:r>
      <w:r w:rsidRPr="00A013E0">
        <w:rPr>
          <w:spacing w:val="-3"/>
        </w:rPr>
        <w:t xml:space="preserve"> </w:t>
      </w:r>
      <w:r w:rsidRPr="00A013E0">
        <w:t>files</w:t>
      </w:r>
      <w:r w:rsidRPr="00A013E0">
        <w:rPr>
          <w:spacing w:val="-3"/>
        </w:rPr>
        <w:t xml:space="preserve"> </w:t>
      </w:r>
      <w:r w:rsidRPr="00A013E0">
        <w:t>relating</w:t>
      </w:r>
      <w:r w:rsidRPr="00A013E0">
        <w:rPr>
          <w:spacing w:val="-9"/>
        </w:rPr>
        <w:t xml:space="preserve"> </w:t>
      </w:r>
      <w:r w:rsidRPr="00A013E0">
        <w:t>to</w:t>
      </w:r>
      <w:r w:rsidRPr="00A013E0">
        <w:rPr>
          <w:spacing w:val="-2"/>
        </w:rPr>
        <w:t xml:space="preserve"> </w:t>
      </w:r>
      <w:r w:rsidRPr="00A013E0">
        <w:t>public</w:t>
      </w:r>
      <w:r w:rsidRPr="00A013E0">
        <w:rPr>
          <w:spacing w:val="-9"/>
        </w:rPr>
        <w:t xml:space="preserve"> </w:t>
      </w:r>
      <w:r w:rsidRPr="00A013E0">
        <w:t>interest disclosure</w:t>
      </w:r>
      <w:r w:rsidRPr="00A013E0">
        <w:rPr>
          <w:spacing w:val="-2"/>
        </w:rPr>
        <w:t xml:space="preserve"> </w:t>
      </w:r>
      <w:r w:rsidRPr="00A013E0">
        <w:t>are</w:t>
      </w:r>
      <w:r w:rsidRPr="00A013E0">
        <w:rPr>
          <w:spacing w:val="-6"/>
        </w:rPr>
        <w:t xml:space="preserve"> </w:t>
      </w:r>
      <w:r w:rsidRPr="00A013E0">
        <w:t>to</w:t>
      </w:r>
      <w:r w:rsidRPr="00A013E0">
        <w:rPr>
          <w:spacing w:val="-4"/>
        </w:rPr>
        <w:t xml:space="preserve"> </w:t>
      </w:r>
      <w:r w:rsidRPr="00A013E0">
        <w:t>carry</w:t>
      </w:r>
      <w:r w:rsidRPr="00A013E0">
        <w:rPr>
          <w:spacing w:val="-6"/>
        </w:rPr>
        <w:t xml:space="preserve"> </w:t>
      </w:r>
      <w:r w:rsidRPr="00A013E0">
        <w:t>the</w:t>
      </w:r>
      <w:r w:rsidRPr="00A013E0">
        <w:rPr>
          <w:spacing w:val="-7"/>
        </w:rPr>
        <w:t xml:space="preserve"> </w:t>
      </w:r>
      <w:r w:rsidRPr="00A013E0">
        <w:t>following</w:t>
      </w:r>
      <w:r w:rsidRPr="00A013E0">
        <w:rPr>
          <w:spacing w:val="-2"/>
        </w:rPr>
        <w:t xml:space="preserve"> </w:t>
      </w:r>
      <w:r w:rsidRPr="00A013E0">
        <w:t>text</w:t>
      </w:r>
      <w:r w:rsidRPr="00A013E0">
        <w:rPr>
          <w:spacing w:val="-3"/>
        </w:rPr>
        <w:t xml:space="preserve"> </w:t>
      </w:r>
      <w:r w:rsidRPr="00A013E0">
        <w:t>clearly</w:t>
      </w:r>
      <w:r w:rsidRPr="00A013E0">
        <w:rPr>
          <w:spacing w:val="-1"/>
        </w:rPr>
        <w:t xml:space="preserve"> </w:t>
      </w:r>
      <w:r w:rsidRPr="00A013E0">
        <w:t>marked</w:t>
      </w:r>
      <w:r w:rsidRPr="00A013E0">
        <w:rPr>
          <w:spacing w:val="-3"/>
        </w:rPr>
        <w:t xml:space="preserve"> </w:t>
      </w:r>
      <w:r w:rsidRPr="00A013E0">
        <w:t>in</w:t>
      </w:r>
      <w:r w:rsidRPr="00A013E0">
        <w:rPr>
          <w:spacing w:val="-2"/>
        </w:rPr>
        <w:t xml:space="preserve"> </w:t>
      </w:r>
      <w:r w:rsidRPr="00A013E0">
        <w:t>the subject line of the electronic file.</w:t>
      </w:r>
      <w:r w:rsidRPr="00A013E0">
        <w:rPr>
          <w:spacing w:val="40"/>
        </w:rPr>
        <w:t xml:space="preserve"> </w:t>
      </w:r>
      <w:r w:rsidRPr="00A013E0">
        <w:t>A warning summary is to be included on a mandatory file memo.</w:t>
      </w:r>
      <w:r w:rsidRPr="00A013E0">
        <w:rPr>
          <w:spacing w:val="40"/>
        </w:rPr>
        <w:t xml:space="preserve"> </w:t>
      </w:r>
      <w:r w:rsidRPr="00A013E0">
        <w:t>Refer to the Records File Creation and Processing procedure for further information.</w:t>
      </w:r>
    </w:p>
    <w:p w14:paraId="32C2E339" w14:textId="77777777" w:rsidR="001F79F6" w:rsidRPr="00A013E0" w:rsidRDefault="001F79F6" w:rsidP="001F79F6">
      <w:pPr>
        <w:pStyle w:val="BodyText"/>
        <w:spacing w:before="1" w:line="249" w:lineRule="auto"/>
        <w:ind w:right="240"/>
        <w:jc w:val="both"/>
      </w:pPr>
    </w:p>
    <w:p w14:paraId="60CD203D" w14:textId="77777777" w:rsidR="001F79F6" w:rsidRPr="00A013E0" w:rsidRDefault="001F79F6" w:rsidP="001F79F6">
      <w:pPr>
        <w:pStyle w:val="Heading3"/>
        <w:numPr>
          <w:ilvl w:val="0"/>
          <w:numId w:val="0"/>
        </w:numPr>
        <w:spacing w:before="1"/>
        <w:ind w:left="720"/>
        <w:rPr>
          <w:i/>
          <w:iCs/>
        </w:rPr>
      </w:pPr>
      <w:r w:rsidRPr="00A013E0">
        <w:rPr>
          <w:i/>
          <w:iCs/>
          <w:spacing w:val="-2"/>
        </w:rPr>
        <w:t>CONFIDENTIAL</w:t>
      </w:r>
    </w:p>
    <w:p w14:paraId="385AB501" w14:textId="77777777" w:rsidR="001F79F6" w:rsidRPr="00A013E0" w:rsidRDefault="001F79F6" w:rsidP="001F79F6">
      <w:pPr>
        <w:spacing w:before="131" w:line="249" w:lineRule="auto"/>
        <w:ind w:left="720" w:right="237"/>
        <w:jc w:val="both"/>
        <w:rPr>
          <w:b/>
          <w:i/>
          <w:iCs/>
        </w:rPr>
      </w:pPr>
      <w:r w:rsidRPr="00A013E0">
        <w:rPr>
          <w:b/>
          <w:i/>
          <w:iCs/>
        </w:rPr>
        <w:t>The material in this file relates to a public interest disclosure made under the Public Interest Disclosure Act 2003.</w:t>
      </w:r>
    </w:p>
    <w:p w14:paraId="0ADEAFF9" w14:textId="77777777" w:rsidR="001F79F6" w:rsidRPr="00A013E0" w:rsidRDefault="001F79F6" w:rsidP="001F79F6">
      <w:pPr>
        <w:pStyle w:val="BodyText"/>
        <w:spacing w:before="1"/>
        <w:ind w:left="720"/>
        <w:rPr>
          <w:b/>
          <w:i/>
          <w:iCs/>
          <w:sz w:val="23"/>
        </w:rPr>
      </w:pPr>
    </w:p>
    <w:p w14:paraId="1C11974F" w14:textId="77777777" w:rsidR="001F79F6" w:rsidRPr="00A013E0" w:rsidRDefault="001F79F6" w:rsidP="001F79F6">
      <w:pPr>
        <w:spacing w:line="249" w:lineRule="auto"/>
        <w:ind w:left="720" w:right="239"/>
        <w:jc w:val="both"/>
        <w:rPr>
          <w:b/>
          <w:i/>
          <w:iCs/>
        </w:rPr>
      </w:pPr>
      <w:r w:rsidRPr="00A013E0">
        <w:rPr>
          <w:b/>
          <w:i/>
          <w:iCs/>
        </w:rPr>
        <w:t>Disclosure of information that might identify</w:t>
      </w:r>
      <w:r w:rsidRPr="00A013E0">
        <w:rPr>
          <w:b/>
          <w:i/>
          <w:iCs/>
          <w:spacing w:val="-3"/>
        </w:rPr>
        <w:t xml:space="preserve"> </w:t>
      </w:r>
      <w:r w:rsidRPr="00A013E0">
        <w:rPr>
          <w:b/>
          <w:i/>
          <w:iCs/>
        </w:rPr>
        <w:t>or</w:t>
      </w:r>
      <w:r w:rsidRPr="00A013E0">
        <w:rPr>
          <w:b/>
          <w:i/>
          <w:iCs/>
          <w:spacing w:val="-1"/>
        </w:rPr>
        <w:t xml:space="preserve"> </w:t>
      </w:r>
      <w:r w:rsidRPr="00A013E0">
        <w:rPr>
          <w:b/>
          <w:i/>
          <w:iCs/>
        </w:rPr>
        <w:t>tend to</w:t>
      </w:r>
      <w:r w:rsidRPr="00A013E0">
        <w:rPr>
          <w:b/>
          <w:i/>
          <w:iCs/>
          <w:spacing w:val="-3"/>
        </w:rPr>
        <w:t xml:space="preserve"> </w:t>
      </w:r>
      <w:r w:rsidRPr="00A013E0">
        <w:rPr>
          <w:b/>
          <w:i/>
          <w:iCs/>
        </w:rPr>
        <w:t>identify either the discloser</w:t>
      </w:r>
      <w:r w:rsidRPr="00A013E0">
        <w:rPr>
          <w:b/>
          <w:i/>
          <w:iCs/>
          <w:spacing w:val="-1"/>
        </w:rPr>
        <w:t xml:space="preserve"> </w:t>
      </w:r>
      <w:r w:rsidRPr="00A013E0">
        <w:rPr>
          <w:b/>
          <w:i/>
          <w:iCs/>
        </w:rPr>
        <w:t>or a person in respect of whom the disclosure has been made is an offence, unless the disclosure occurs in accordance with the PID Act.</w:t>
      </w:r>
    </w:p>
    <w:p w14:paraId="69E67FD9" w14:textId="77777777" w:rsidR="001F79F6" w:rsidRPr="00A013E0" w:rsidRDefault="001F79F6" w:rsidP="001F79F6">
      <w:pPr>
        <w:pStyle w:val="BodyText"/>
        <w:spacing w:before="4"/>
        <w:ind w:left="720"/>
        <w:rPr>
          <w:b/>
          <w:i/>
          <w:iCs/>
          <w:sz w:val="23"/>
        </w:rPr>
      </w:pPr>
    </w:p>
    <w:p w14:paraId="4AC392FB" w14:textId="77777777" w:rsidR="001F79F6" w:rsidRPr="001F79F6" w:rsidRDefault="001F79F6" w:rsidP="001F79F6">
      <w:pPr>
        <w:spacing w:before="1"/>
        <w:ind w:left="720"/>
        <w:jc w:val="both"/>
        <w:rPr>
          <w:b/>
          <w:i/>
          <w:iCs/>
        </w:rPr>
      </w:pPr>
      <w:r w:rsidRPr="00A013E0">
        <w:rPr>
          <w:b/>
          <w:i/>
          <w:iCs/>
        </w:rPr>
        <w:t>Penalty:</w:t>
      </w:r>
      <w:r w:rsidRPr="00A013E0">
        <w:rPr>
          <w:b/>
          <w:i/>
          <w:iCs/>
          <w:spacing w:val="-13"/>
        </w:rPr>
        <w:t xml:space="preserve"> </w:t>
      </w:r>
      <w:r w:rsidRPr="00A013E0">
        <w:rPr>
          <w:b/>
          <w:i/>
          <w:iCs/>
        </w:rPr>
        <w:t>$24,000</w:t>
      </w:r>
      <w:r w:rsidRPr="00A013E0">
        <w:rPr>
          <w:b/>
          <w:i/>
          <w:iCs/>
          <w:spacing w:val="-13"/>
        </w:rPr>
        <w:t xml:space="preserve"> </w:t>
      </w:r>
      <w:r w:rsidRPr="00A013E0">
        <w:rPr>
          <w:b/>
          <w:i/>
          <w:iCs/>
        </w:rPr>
        <w:t>or</w:t>
      </w:r>
      <w:r w:rsidRPr="00A013E0">
        <w:rPr>
          <w:b/>
          <w:i/>
          <w:iCs/>
          <w:spacing w:val="-14"/>
        </w:rPr>
        <w:t xml:space="preserve"> </w:t>
      </w:r>
      <w:r w:rsidRPr="00A013E0">
        <w:rPr>
          <w:b/>
          <w:i/>
          <w:iCs/>
        </w:rPr>
        <w:t>imprisonment</w:t>
      </w:r>
      <w:r w:rsidRPr="00A013E0">
        <w:rPr>
          <w:b/>
          <w:i/>
          <w:iCs/>
          <w:spacing w:val="-12"/>
        </w:rPr>
        <w:t xml:space="preserve"> </w:t>
      </w:r>
      <w:r w:rsidRPr="00A013E0">
        <w:rPr>
          <w:b/>
          <w:i/>
          <w:iCs/>
        </w:rPr>
        <w:t>for</w:t>
      </w:r>
      <w:r w:rsidRPr="00A013E0">
        <w:rPr>
          <w:b/>
          <w:i/>
          <w:iCs/>
          <w:spacing w:val="-15"/>
        </w:rPr>
        <w:t xml:space="preserve"> </w:t>
      </w:r>
      <w:r w:rsidRPr="00A013E0">
        <w:rPr>
          <w:b/>
          <w:i/>
          <w:iCs/>
        </w:rPr>
        <w:t>two</w:t>
      </w:r>
      <w:r w:rsidRPr="00A013E0">
        <w:rPr>
          <w:b/>
          <w:i/>
          <w:iCs/>
          <w:spacing w:val="-11"/>
        </w:rPr>
        <w:t xml:space="preserve"> </w:t>
      </w:r>
      <w:r w:rsidRPr="00A013E0">
        <w:rPr>
          <w:b/>
          <w:i/>
          <w:iCs/>
          <w:spacing w:val="-2"/>
        </w:rPr>
        <w:t>years.</w:t>
      </w:r>
    </w:p>
    <w:p w14:paraId="063052B0" w14:textId="77777777" w:rsidR="00F85498" w:rsidRDefault="00F85498" w:rsidP="00F85498">
      <w:pPr>
        <w:spacing w:after="0" w:line="240" w:lineRule="auto"/>
        <w:jc w:val="both"/>
      </w:pPr>
    </w:p>
    <w:p w14:paraId="3F5A401E" w14:textId="77777777" w:rsidR="00610160" w:rsidRDefault="00610160" w:rsidP="00F85498">
      <w:pPr>
        <w:spacing w:after="0" w:line="240" w:lineRule="auto"/>
        <w:jc w:val="both"/>
      </w:pPr>
    </w:p>
    <w:p w14:paraId="59808475" w14:textId="77777777" w:rsidR="00610160" w:rsidRDefault="00610160" w:rsidP="00F85498">
      <w:pPr>
        <w:spacing w:after="0" w:line="240" w:lineRule="auto"/>
        <w:jc w:val="both"/>
      </w:pPr>
    </w:p>
    <w:p w14:paraId="1B177DE1" w14:textId="77777777" w:rsidR="00610160" w:rsidRDefault="00610160" w:rsidP="00F85498">
      <w:pPr>
        <w:spacing w:after="0" w:line="240" w:lineRule="auto"/>
        <w:jc w:val="both"/>
      </w:pPr>
    </w:p>
    <w:p w14:paraId="1B8C6738" w14:textId="77777777" w:rsidR="00610160" w:rsidRDefault="00610160" w:rsidP="00F85498">
      <w:pPr>
        <w:spacing w:after="0" w:line="240" w:lineRule="auto"/>
        <w:jc w:val="both"/>
      </w:pPr>
    </w:p>
    <w:p w14:paraId="19C7C57A" w14:textId="77777777" w:rsidR="00610160" w:rsidRDefault="00610160" w:rsidP="00F85498">
      <w:pPr>
        <w:spacing w:after="0" w:line="240" w:lineRule="auto"/>
        <w:jc w:val="both"/>
      </w:pPr>
    </w:p>
    <w:p w14:paraId="6DC1938E" w14:textId="77777777" w:rsidR="00610160" w:rsidRDefault="00610160" w:rsidP="00F85498">
      <w:pPr>
        <w:spacing w:after="0" w:line="240" w:lineRule="auto"/>
        <w:jc w:val="both"/>
      </w:pPr>
    </w:p>
    <w:p w14:paraId="123FB208" w14:textId="77777777" w:rsidR="00610160" w:rsidRDefault="00610160" w:rsidP="00F85498">
      <w:pPr>
        <w:spacing w:after="0" w:line="240" w:lineRule="auto"/>
        <w:jc w:val="both"/>
      </w:pPr>
    </w:p>
    <w:p w14:paraId="2E9575A7" w14:textId="77777777" w:rsidR="00610160" w:rsidRDefault="00610160" w:rsidP="00F85498">
      <w:pPr>
        <w:spacing w:after="0" w:line="240" w:lineRule="auto"/>
        <w:jc w:val="both"/>
      </w:pPr>
    </w:p>
    <w:p w14:paraId="4CE2C42E" w14:textId="77777777" w:rsidR="00610160" w:rsidRDefault="00610160" w:rsidP="00F85498">
      <w:pPr>
        <w:spacing w:after="0" w:line="240" w:lineRule="auto"/>
        <w:jc w:val="both"/>
      </w:pPr>
    </w:p>
    <w:p w14:paraId="59057411" w14:textId="77777777" w:rsidR="00610160" w:rsidRDefault="00610160" w:rsidP="00F85498">
      <w:pPr>
        <w:spacing w:after="0" w:line="240" w:lineRule="auto"/>
        <w:jc w:val="both"/>
      </w:pPr>
    </w:p>
    <w:p w14:paraId="4452ACB6" w14:textId="77777777" w:rsidR="00610160" w:rsidRDefault="00610160" w:rsidP="00F85498">
      <w:pPr>
        <w:spacing w:after="0" w:line="240" w:lineRule="auto"/>
        <w:jc w:val="both"/>
      </w:pPr>
    </w:p>
    <w:p w14:paraId="5C3E37D5" w14:textId="77777777" w:rsidR="00610160" w:rsidRDefault="00610160" w:rsidP="00F85498">
      <w:pPr>
        <w:spacing w:after="0" w:line="240" w:lineRule="auto"/>
        <w:jc w:val="both"/>
      </w:pPr>
    </w:p>
    <w:p w14:paraId="2D914960" w14:textId="167560C3" w:rsidR="00F85498" w:rsidRDefault="00F85498" w:rsidP="008871FF">
      <w:pPr>
        <w:pStyle w:val="Heading1"/>
      </w:pPr>
      <w:bookmarkStart w:id="6" w:name="_Toc508616415"/>
      <w:r>
        <w:t>F.  How to make a public interest disclosure</w:t>
      </w:r>
      <w:bookmarkEnd w:id="6"/>
    </w:p>
    <w:p w14:paraId="700F3EE8" w14:textId="77777777" w:rsidR="008C16C9" w:rsidRPr="008C16C9" w:rsidRDefault="008C16C9" w:rsidP="008C16C9"/>
    <w:p w14:paraId="39B8B1C1" w14:textId="252D1285" w:rsidR="00F85498" w:rsidRDefault="00F85498" w:rsidP="00F85498">
      <w:pPr>
        <w:pStyle w:val="Heading2"/>
      </w:pPr>
      <w:bookmarkStart w:id="7" w:name="_Toc508616416"/>
      <w:r>
        <w:t>Before you make a disclosure</w:t>
      </w:r>
      <w:bookmarkEnd w:id="7"/>
    </w:p>
    <w:p w14:paraId="7D8816B2" w14:textId="0C1B71D3" w:rsidR="00F85498" w:rsidRDefault="00F85498" w:rsidP="00F85498">
      <w:pPr>
        <w:jc w:val="both"/>
      </w:pPr>
      <w:r>
        <w:t xml:space="preserve">We strongly encourage anyone thinking about making a public interest disclosure to seek advice from our PID Officer (‘proper authority’) before they do. A disclosure must be made to a proper authority for it to be covered by the PID Act.  </w:t>
      </w:r>
    </w:p>
    <w:p w14:paraId="05D4EF02" w14:textId="1F5E138E" w:rsidR="00381303" w:rsidRPr="00381303" w:rsidRDefault="00381303" w:rsidP="00381303">
      <w:pPr>
        <w:pStyle w:val="Heading3"/>
        <w:numPr>
          <w:ilvl w:val="0"/>
          <w:numId w:val="0"/>
        </w:numPr>
        <w:rPr>
          <w:lang w:eastAsia="en-AU"/>
        </w:rPr>
      </w:pPr>
      <w:r w:rsidRPr="00381303">
        <w:rPr>
          <w:lang w:eastAsia="en-AU"/>
        </w:rPr>
        <w:t>Proper authorities for receiving disclosures of public interest</w:t>
      </w:r>
      <w:r>
        <w:rPr>
          <w:lang w:eastAsia="en-AU"/>
        </w:rPr>
        <w:t xml:space="preserve"> </w:t>
      </w:r>
      <w:r w:rsidRPr="00381303">
        <w:rPr>
          <w:lang w:eastAsia="en-AU"/>
        </w:rPr>
        <w:t>information</w:t>
      </w:r>
    </w:p>
    <w:tbl>
      <w:tblPr>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0"/>
        <w:gridCol w:w="4819"/>
      </w:tblGrid>
      <w:tr w:rsidR="00381303" w:rsidRPr="00381303" w14:paraId="2BF92666" w14:textId="77777777" w:rsidTr="00381303">
        <w:tc>
          <w:tcPr>
            <w:tcW w:w="43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4E1E27D" w14:textId="104714E7" w:rsidR="00381303" w:rsidRPr="00381303" w:rsidRDefault="00381303" w:rsidP="00C22BE7">
            <w:pPr>
              <w:spacing w:after="0" w:line="240" w:lineRule="auto"/>
              <w:rPr>
                <w:rFonts w:eastAsia="Times New Roman" w:cs="Arial"/>
                <w:szCs w:val="20"/>
                <w:lang w:eastAsia="en-AU"/>
              </w:rPr>
            </w:pPr>
            <w:r w:rsidRPr="00381303">
              <w:rPr>
                <w:rFonts w:eastAsia="Times New Roman" w:cs="Arial"/>
                <w:b/>
                <w:bCs/>
                <w:szCs w:val="20"/>
                <w:lang w:eastAsia="en-AU"/>
              </w:rPr>
              <w:t xml:space="preserve">When the disclosure relates to </w:t>
            </w:r>
            <w:r>
              <w:rPr>
                <w:rFonts w:eastAsia="Times New Roman" w:cs="Arial"/>
                <w:b/>
                <w:bCs/>
                <w:szCs w:val="20"/>
                <w:lang w:eastAsia="en-AU"/>
              </w:rPr>
              <w:t>r</w:t>
            </w:r>
            <w:r w:rsidRPr="00381303">
              <w:rPr>
                <w:rFonts w:eastAsia="Times New Roman" w:cs="Arial"/>
                <w:b/>
                <w:bCs/>
                <w:szCs w:val="20"/>
                <w:lang w:eastAsia="en-AU"/>
              </w:rPr>
              <w:t xml:space="preserve">elates to… </w:t>
            </w:r>
          </w:p>
        </w:tc>
        <w:tc>
          <w:tcPr>
            <w:tcW w:w="481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8BAA92D" w14:textId="77777777" w:rsidR="00381303" w:rsidRPr="00381303" w:rsidRDefault="00381303" w:rsidP="00C22BE7">
            <w:pPr>
              <w:spacing w:after="0" w:line="240" w:lineRule="auto"/>
              <w:rPr>
                <w:rFonts w:eastAsia="Times New Roman" w:cs="Arial"/>
                <w:szCs w:val="20"/>
                <w:lang w:eastAsia="en-AU"/>
              </w:rPr>
            </w:pPr>
            <w:r w:rsidRPr="00381303">
              <w:rPr>
                <w:rFonts w:eastAsia="Times New Roman" w:cs="Arial"/>
                <w:b/>
                <w:bCs/>
                <w:szCs w:val="20"/>
                <w:lang w:eastAsia="en-AU"/>
              </w:rPr>
              <w:t>The proper authority is…</w:t>
            </w:r>
          </w:p>
        </w:tc>
      </w:tr>
      <w:tr w:rsidR="00381303" w:rsidRPr="00381303" w14:paraId="2AA266F4" w14:textId="77777777" w:rsidTr="00381303">
        <w:tc>
          <w:tcPr>
            <w:tcW w:w="4390" w:type="dxa"/>
            <w:tcBorders>
              <w:top w:val="single" w:sz="4" w:space="0" w:color="auto"/>
              <w:left w:val="single" w:sz="4" w:space="0" w:color="auto"/>
              <w:bottom w:val="single" w:sz="4" w:space="0" w:color="auto"/>
              <w:right w:val="single" w:sz="4" w:space="0" w:color="auto"/>
            </w:tcBorders>
            <w:vAlign w:val="center"/>
            <w:hideMark/>
          </w:tcPr>
          <w:p w14:paraId="1042E50F" w14:textId="77777777" w:rsidR="00381303" w:rsidRPr="00381303" w:rsidRDefault="00381303" w:rsidP="00C22BE7">
            <w:pPr>
              <w:spacing w:after="0" w:line="240" w:lineRule="auto"/>
              <w:rPr>
                <w:rFonts w:ascii="Times New Roman" w:eastAsia="Times New Roman" w:hAnsi="Times New Roman" w:cs="Times New Roman"/>
                <w:sz w:val="24"/>
                <w:szCs w:val="24"/>
                <w:lang w:eastAsia="en-AU"/>
              </w:rPr>
            </w:pPr>
            <w:r w:rsidRPr="00381303">
              <w:rPr>
                <w:rFonts w:ascii="HelveticaNeueLTPro-Lt" w:eastAsia="Times New Roman" w:hAnsi="HelveticaNeueLTPro-Lt" w:cs="Times New Roman"/>
                <w:color w:val="242021"/>
                <w:sz w:val="20"/>
                <w:szCs w:val="20"/>
                <w:lang w:eastAsia="en-AU"/>
              </w:rPr>
              <w:t xml:space="preserve">Offences under State law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15A274B" w14:textId="77777777" w:rsidR="00381303" w:rsidRPr="00381303" w:rsidRDefault="00381303" w:rsidP="00C22BE7">
            <w:pPr>
              <w:spacing w:after="0" w:line="240" w:lineRule="auto"/>
              <w:rPr>
                <w:rFonts w:ascii="Times New Roman" w:eastAsia="Times New Roman" w:hAnsi="Times New Roman" w:cs="Times New Roman"/>
                <w:sz w:val="24"/>
                <w:szCs w:val="24"/>
                <w:lang w:eastAsia="en-AU"/>
              </w:rPr>
            </w:pPr>
            <w:r w:rsidRPr="00381303">
              <w:rPr>
                <w:rFonts w:ascii="HelveticaNeueLTPro-Lt" w:eastAsia="Times New Roman" w:hAnsi="HelveticaNeueLTPro-Lt" w:cs="Times New Roman"/>
                <w:color w:val="242021"/>
                <w:sz w:val="20"/>
                <w:szCs w:val="20"/>
                <w:lang w:eastAsia="en-AU"/>
              </w:rPr>
              <w:t>A police officer or the Corruption and Crime</w:t>
            </w:r>
            <w:r w:rsidRPr="00381303">
              <w:rPr>
                <w:rFonts w:ascii="HelveticaNeueLTPro-Lt" w:eastAsia="Times New Roman" w:hAnsi="HelveticaNeueLTPro-Lt" w:cs="Times New Roman"/>
                <w:color w:val="242021"/>
                <w:sz w:val="20"/>
                <w:szCs w:val="20"/>
                <w:lang w:eastAsia="en-AU"/>
              </w:rPr>
              <w:br/>
              <w:t>Commission (s. 5(3)(a))</w:t>
            </w:r>
          </w:p>
        </w:tc>
      </w:tr>
      <w:tr w:rsidR="00381303" w:rsidRPr="00381303" w14:paraId="340C43AF" w14:textId="77777777" w:rsidTr="00381303">
        <w:tc>
          <w:tcPr>
            <w:tcW w:w="4390" w:type="dxa"/>
            <w:tcBorders>
              <w:top w:val="single" w:sz="4" w:space="0" w:color="auto"/>
              <w:left w:val="single" w:sz="4" w:space="0" w:color="auto"/>
              <w:bottom w:val="single" w:sz="4" w:space="0" w:color="auto"/>
              <w:right w:val="single" w:sz="4" w:space="0" w:color="auto"/>
            </w:tcBorders>
            <w:vAlign w:val="center"/>
            <w:hideMark/>
          </w:tcPr>
          <w:p w14:paraId="3354581D" w14:textId="77777777" w:rsidR="00381303" w:rsidRPr="00381303" w:rsidRDefault="00381303" w:rsidP="00C22BE7">
            <w:pPr>
              <w:spacing w:after="0" w:line="240" w:lineRule="auto"/>
              <w:rPr>
                <w:rFonts w:ascii="Times New Roman" w:eastAsia="Times New Roman" w:hAnsi="Times New Roman" w:cs="Times New Roman"/>
                <w:sz w:val="24"/>
                <w:szCs w:val="24"/>
                <w:lang w:eastAsia="en-AU"/>
              </w:rPr>
            </w:pPr>
            <w:r w:rsidRPr="00381303">
              <w:rPr>
                <w:rFonts w:ascii="HelveticaNeueLTPro-Lt" w:eastAsia="Times New Roman" w:hAnsi="HelveticaNeueLTPro-Lt" w:cs="Times New Roman"/>
                <w:color w:val="242021"/>
                <w:sz w:val="20"/>
                <w:szCs w:val="20"/>
                <w:lang w:eastAsia="en-AU"/>
              </w:rPr>
              <w:t>Substantial unauthorised or irregular use of, or</w:t>
            </w:r>
            <w:r w:rsidRPr="00381303">
              <w:rPr>
                <w:rFonts w:ascii="HelveticaNeueLTPro-Lt" w:eastAsia="Times New Roman" w:hAnsi="HelveticaNeueLTPro-Lt" w:cs="Times New Roman"/>
                <w:color w:val="242021"/>
                <w:sz w:val="20"/>
                <w:szCs w:val="20"/>
                <w:lang w:eastAsia="en-AU"/>
              </w:rPr>
              <w:br/>
              <w:t>substantial mismanagement of, public resources</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5C51039" w14:textId="77777777" w:rsidR="00381303" w:rsidRPr="00381303" w:rsidRDefault="00381303" w:rsidP="00C22BE7">
            <w:pPr>
              <w:spacing w:after="0" w:line="240" w:lineRule="auto"/>
              <w:rPr>
                <w:rFonts w:ascii="Times New Roman" w:eastAsia="Times New Roman" w:hAnsi="Times New Roman" w:cs="Times New Roman"/>
                <w:sz w:val="24"/>
                <w:szCs w:val="24"/>
                <w:lang w:eastAsia="en-AU"/>
              </w:rPr>
            </w:pPr>
            <w:r w:rsidRPr="00381303">
              <w:rPr>
                <w:rFonts w:ascii="HelveticaNeueLTPro-Lt" w:eastAsia="Times New Roman" w:hAnsi="HelveticaNeueLTPro-Lt" w:cs="Times New Roman"/>
                <w:color w:val="242021"/>
                <w:sz w:val="20"/>
                <w:szCs w:val="20"/>
                <w:lang w:eastAsia="en-AU"/>
              </w:rPr>
              <w:t>Auditor General (s. 5(3)(b))</w:t>
            </w:r>
          </w:p>
        </w:tc>
      </w:tr>
      <w:tr w:rsidR="00381303" w:rsidRPr="00381303" w14:paraId="5D12EB4B" w14:textId="77777777" w:rsidTr="00381303">
        <w:tc>
          <w:tcPr>
            <w:tcW w:w="4390" w:type="dxa"/>
            <w:tcBorders>
              <w:top w:val="single" w:sz="4" w:space="0" w:color="auto"/>
              <w:left w:val="single" w:sz="4" w:space="0" w:color="auto"/>
              <w:bottom w:val="single" w:sz="4" w:space="0" w:color="auto"/>
              <w:right w:val="single" w:sz="4" w:space="0" w:color="auto"/>
            </w:tcBorders>
            <w:vAlign w:val="center"/>
            <w:hideMark/>
          </w:tcPr>
          <w:p w14:paraId="558D5668" w14:textId="77777777" w:rsidR="00381303" w:rsidRPr="00381303" w:rsidRDefault="00381303" w:rsidP="00C22BE7">
            <w:pPr>
              <w:spacing w:after="0" w:line="240" w:lineRule="auto"/>
              <w:rPr>
                <w:rFonts w:ascii="Times New Roman" w:eastAsia="Times New Roman" w:hAnsi="Times New Roman" w:cs="Times New Roman"/>
                <w:sz w:val="24"/>
                <w:szCs w:val="24"/>
                <w:lang w:eastAsia="en-AU"/>
              </w:rPr>
            </w:pPr>
            <w:r w:rsidRPr="00381303">
              <w:rPr>
                <w:rFonts w:ascii="HelveticaNeueLTPro-Lt" w:eastAsia="Times New Roman" w:hAnsi="HelveticaNeueLTPro-Lt" w:cs="Times New Roman"/>
                <w:color w:val="242021"/>
                <w:sz w:val="20"/>
                <w:szCs w:val="20"/>
                <w:lang w:eastAsia="en-AU"/>
              </w:rPr>
              <w:t>Matters of administration affecting someone</w:t>
            </w:r>
            <w:r w:rsidRPr="00381303">
              <w:rPr>
                <w:rFonts w:ascii="HelveticaNeueLTPro-Lt" w:eastAsia="Times New Roman" w:hAnsi="HelveticaNeueLTPro-Lt" w:cs="Times New Roman"/>
                <w:color w:val="242021"/>
                <w:sz w:val="20"/>
                <w:szCs w:val="20"/>
                <w:lang w:eastAsia="en-AU"/>
              </w:rPr>
              <w:br/>
              <w:t>in their personal capacity falling within the</w:t>
            </w:r>
            <w:r w:rsidRPr="00381303">
              <w:rPr>
                <w:rFonts w:ascii="HelveticaNeueLTPro-Lt" w:eastAsia="Times New Roman" w:hAnsi="HelveticaNeueLTPro-Lt" w:cs="Times New Roman"/>
                <w:color w:val="242021"/>
                <w:sz w:val="20"/>
                <w:szCs w:val="20"/>
                <w:lang w:eastAsia="en-AU"/>
              </w:rPr>
              <w:br/>
              <w:t>jurisdiction of the Parliamentary Commissioner</w:t>
            </w:r>
            <w:r w:rsidRPr="00381303">
              <w:rPr>
                <w:rFonts w:ascii="HelveticaNeueLTPro-Lt" w:eastAsia="Times New Roman" w:hAnsi="HelveticaNeueLTPro-Lt" w:cs="Times New Roman"/>
                <w:color w:val="242021"/>
                <w:sz w:val="20"/>
                <w:szCs w:val="20"/>
                <w:lang w:eastAsia="en-AU"/>
              </w:rPr>
              <w:br/>
              <w:t>(Ombudsman Western Australia)</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A38B8B6" w14:textId="77777777" w:rsidR="00381303" w:rsidRPr="00381303" w:rsidRDefault="00381303" w:rsidP="00C22BE7">
            <w:pPr>
              <w:spacing w:after="0" w:line="240" w:lineRule="auto"/>
              <w:rPr>
                <w:rFonts w:ascii="Times New Roman" w:eastAsia="Times New Roman" w:hAnsi="Times New Roman" w:cs="Times New Roman"/>
                <w:sz w:val="24"/>
                <w:szCs w:val="24"/>
                <w:lang w:eastAsia="en-AU"/>
              </w:rPr>
            </w:pPr>
            <w:r w:rsidRPr="00381303">
              <w:rPr>
                <w:rFonts w:ascii="HelveticaNeueLTPro-Lt" w:eastAsia="Times New Roman" w:hAnsi="HelveticaNeueLTPro-Lt" w:cs="Times New Roman"/>
                <w:color w:val="242021"/>
                <w:sz w:val="20"/>
                <w:szCs w:val="20"/>
                <w:lang w:eastAsia="en-AU"/>
              </w:rPr>
              <w:t>Ombudsman Western Australia (s. 5(3)(c)) or the</w:t>
            </w:r>
            <w:r w:rsidRPr="00381303">
              <w:rPr>
                <w:rFonts w:ascii="HelveticaNeueLTPro-Lt" w:eastAsia="Times New Roman" w:hAnsi="HelveticaNeueLTPro-Lt" w:cs="Times New Roman"/>
                <w:color w:val="242021"/>
                <w:sz w:val="20"/>
                <w:szCs w:val="20"/>
                <w:lang w:eastAsia="en-AU"/>
              </w:rPr>
              <w:br/>
              <w:t>PID Officer of the public authority concerned (s.</w:t>
            </w:r>
            <w:r w:rsidRPr="00381303">
              <w:rPr>
                <w:rFonts w:ascii="HelveticaNeueLTPro-Lt" w:eastAsia="Times New Roman" w:hAnsi="HelveticaNeueLTPro-Lt" w:cs="Times New Roman"/>
                <w:color w:val="242021"/>
                <w:sz w:val="20"/>
                <w:szCs w:val="20"/>
                <w:lang w:eastAsia="en-AU"/>
              </w:rPr>
              <w:br/>
              <w:t>5(3)(h))</w:t>
            </w:r>
          </w:p>
        </w:tc>
      </w:tr>
      <w:tr w:rsidR="00381303" w:rsidRPr="00381303" w14:paraId="26D1891F" w14:textId="77777777" w:rsidTr="00381303">
        <w:tc>
          <w:tcPr>
            <w:tcW w:w="4390" w:type="dxa"/>
            <w:tcBorders>
              <w:top w:val="single" w:sz="4" w:space="0" w:color="auto"/>
              <w:left w:val="single" w:sz="4" w:space="0" w:color="auto"/>
              <w:bottom w:val="single" w:sz="4" w:space="0" w:color="auto"/>
              <w:right w:val="single" w:sz="4" w:space="0" w:color="auto"/>
            </w:tcBorders>
            <w:vAlign w:val="center"/>
            <w:hideMark/>
          </w:tcPr>
          <w:p w14:paraId="39D97988" w14:textId="77777777" w:rsidR="00381303" w:rsidRPr="00381303" w:rsidRDefault="00381303" w:rsidP="00C22BE7">
            <w:pPr>
              <w:spacing w:after="0" w:line="240" w:lineRule="auto"/>
              <w:rPr>
                <w:rFonts w:ascii="Times New Roman" w:eastAsia="Times New Roman" w:hAnsi="Times New Roman" w:cs="Times New Roman"/>
                <w:sz w:val="24"/>
                <w:szCs w:val="24"/>
                <w:lang w:eastAsia="en-AU"/>
              </w:rPr>
            </w:pPr>
            <w:r w:rsidRPr="00381303">
              <w:rPr>
                <w:rFonts w:ascii="HelveticaNeueLTPro-Lt" w:eastAsia="Times New Roman" w:hAnsi="HelveticaNeueLTPro-Lt" w:cs="Times New Roman"/>
                <w:color w:val="242021"/>
                <w:sz w:val="20"/>
                <w:szCs w:val="20"/>
                <w:lang w:eastAsia="en-AU"/>
              </w:rPr>
              <w:t xml:space="preserve">A police officer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71835B7" w14:textId="77777777" w:rsidR="00381303" w:rsidRPr="00381303" w:rsidRDefault="00381303" w:rsidP="00C22BE7">
            <w:pPr>
              <w:spacing w:after="0" w:line="240" w:lineRule="auto"/>
              <w:rPr>
                <w:rFonts w:ascii="Times New Roman" w:eastAsia="Times New Roman" w:hAnsi="Times New Roman" w:cs="Times New Roman"/>
                <w:sz w:val="24"/>
                <w:szCs w:val="24"/>
                <w:lang w:eastAsia="en-AU"/>
              </w:rPr>
            </w:pPr>
            <w:r w:rsidRPr="00381303">
              <w:rPr>
                <w:rFonts w:ascii="HelveticaNeueLTPro-Lt" w:eastAsia="Times New Roman" w:hAnsi="HelveticaNeueLTPro-Lt" w:cs="Times New Roman"/>
                <w:color w:val="242021"/>
                <w:sz w:val="20"/>
                <w:szCs w:val="20"/>
                <w:lang w:eastAsia="en-AU"/>
              </w:rPr>
              <w:t>Commissioner of Police or the Corruption and</w:t>
            </w:r>
            <w:r w:rsidRPr="00381303">
              <w:rPr>
                <w:rFonts w:ascii="HelveticaNeueLTPro-Lt" w:eastAsia="Times New Roman" w:hAnsi="HelveticaNeueLTPro-Lt" w:cs="Times New Roman"/>
                <w:color w:val="242021"/>
                <w:sz w:val="20"/>
                <w:szCs w:val="20"/>
                <w:lang w:eastAsia="en-AU"/>
              </w:rPr>
              <w:br/>
              <w:t>Crime Commission (s. 5(3)(d))</w:t>
            </w:r>
          </w:p>
        </w:tc>
      </w:tr>
      <w:tr w:rsidR="00381303" w:rsidRPr="00381303" w14:paraId="79BA7511" w14:textId="77777777" w:rsidTr="00381303">
        <w:tc>
          <w:tcPr>
            <w:tcW w:w="4390" w:type="dxa"/>
            <w:tcBorders>
              <w:top w:val="single" w:sz="4" w:space="0" w:color="auto"/>
              <w:left w:val="single" w:sz="4" w:space="0" w:color="auto"/>
              <w:bottom w:val="single" w:sz="4" w:space="0" w:color="auto"/>
              <w:right w:val="single" w:sz="4" w:space="0" w:color="auto"/>
            </w:tcBorders>
            <w:vAlign w:val="center"/>
            <w:hideMark/>
          </w:tcPr>
          <w:p w14:paraId="4F86235B" w14:textId="77777777" w:rsidR="00381303" w:rsidRPr="00381303" w:rsidRDefault="00381303" w:rsidP="00C22BE7">
            <w:pPr>
              <w:spacing w:after="0" w:line="240" w:lineRule="auto"/>
              <w:rPr>
                <w:rFonts w:ascii="Times New Roman" w:eastAsia="Times New Roman" w:hAnsi="Times New Roman" w:cs="Times New Roman"/>
                <w:sz w:val="24"/>
                <w:szCs w:val="24"/>
                <w:lang w:eastAsia="en-AU"/>
              </w:rPr>
            </w:pPr>
            <w:r w:rsidRPr="00381303">
              <w:rPr>
                <w:rFonts w:ascii="HelveticaNeueLTPro-Lt" w:eastAsia="Times New Roman" w:hAnsi="HelveticaNeueLTPro-Lt" w:cs="Times New Roman"/>
                <w:color w:val="242021"/>
                <w:sz w:val="20"/>
                <w:szCs w:val="20"/>
                <w:lang w:eastAsia="en-AU"/>
              </w:rPr>
              <w:t xml:space="preserve">A judicial officer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80743A1" w14:textId="77777777" w:rsidR="00381303" w:rsidRPr="00381303" w:rsidRDefault="00381303" w:rsidP="00C22BE7">
            <w:pPr>
              <w:spacing w:after="0" w:line="240" w:lineRule="auto"/>
              <w:rPr>
                <w:rFonts w:ascii="Times New Roman" w:eastAsia="Times New Roman" w:hAnsi="Times New Roman" w:cs="Times New Roman"/>
                <w:sz w:val="24"/>
                <w:szCs w:val="24"/>
                <w:lang w:eastAsia="en-AU"/>
              </w:rPr>
            </w:pPr>
            <w:r w:rsidRPr="00381303">
              <w:rPr>
                <w:rFonts w:ascii="HelveticaNeueLTPro-Lt" w:eastAsia="Times New Roman" w:hAnsi="HelveticaNeueLTPro-Lt" w:cs="Times New Roman"/>
                <w:color w:val="242021"/>
                <w:sz w:val="20"/>
                <w:szCs w:val="20"/>
                <w:lang w:eastAsia="en-AU"/>
              </w:rPr>
              <w:t>Chief Justice (s. 5(3)(e))</w:t>
            </w:r>
          </w:p>
        </w:tc>
      </w:tr>
      <w:tr w:rsidR="00381303" w:rsidRPr="00381303" w14:paraId="63CAC2D5" w14:textId="77777777" w:rsidTr="00381303">
        <w:tc>
          <w:tcPr>
            <w:tcW w:w="4390" w:type="dxa"/>
            <w:tcBorders>
              <w:top w:val="single" w:sz="4" w:space="0" w:color="auto"/>
              <w:left w:val="single" w:sz="4" w:space="0" w:color="auto"/>
              <w:bottom w:val="single" w:sz="4" w:space="0" w:color="auto"/>
              <w:right w:val="single" w:sz="4" w:space="0" w:color="auto"/>
            </w:tcBorders>
            <w:vAlign w:val="center"/>
            <w:hideMark/>
          </w:tcPr>
          <w:p w14:paraId="0129F781" w14:textId="77777777" w:rsidR="00381303" w:rsidRPr="00381303" w:rsidRDefault="00381303" w:rsidP="00C22BE7">
            <w:pPr>
              <w:spacing w:after="0" w:line="240" w:lineRule="auto"/>
              <w:rPr>
                <w:rFonts w:ascii="Times New Roman" w:eastAsia="Times New Roman" w:hAnsi="Times New Roman" w:cs="Times New Roman"/>
                <w:sz w:val="24"/>
                <w:szCs w:val="24"/>
                <w:lang w:eastAsia="en-AU"/>
              </w:rPr>
            </w:pPr>
            <w:r w:rsidRPr="00381303">
              <w:rPr>
                <w:rFonts w:ascii="HelveticaNeueLTPro-Lt" w:eastAsia="Times New Roman" w:hAnsi="HelveticaNeueLTPro-Lt" w:cs="Times New Roman"/>
                <w:color w:val="242021"/>
                <w:sz w:val="20"/>
                <w:szCs w:val="20"/>
                <w:lang w:eastAsia="en-AU"/>
              </w:rPr>
              <w:t xml:space="preserve">A Member of the Legislative Council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208B9C0" w14:textId="77777777" w:rsidR="00381303" w:rsidRPr="00381303" w:rsidRDefault="00381303" w:rsidP="00C22BE7">
            <w:pPr>
              <w:spacing w:after="0" w:line="240" w:lineRule="auto"/>
              <w:rPr>
                <w:rFonts w:ascii="Times New Roman" w:eastAsia="Times New Roman" w:hAnsi="Times New Roman" w:cs="Times New Roman"/>
                <w:sz w:val="24"/>
                <w:szCs w:val="24"/>
                <w:lang w:eastAsia="en-AU"/>
              </w:rPr>
            </w:pPr>
            <w:r w:rsidRPr="00381303">
              <w:rPr>
                <w:rFonts w:ascii="HelveticaNeueLTPro-Lt" w:eastAsia="Times New Roman" w:hAnsi="HelveticaNeueLTPro-Lt" w:cs="Times New Roman"/>
                <w:color w:val="242021"/>
                <w:sz w:val="20"/>
                <w:szCs w:val="20"/>
                <w:lang w:eastAsia="en-AU"/>
              </w:rPr>
              <w:t>President of the Legislative Council (s. 5(3)(f))</w:t>
            </w:r>
          </w:p>
        </w:tc>
      </w:tr>
      <w:tr w:rsidR="00381303" w:rsidRPr="00381303" w14:paraId="661D63D7" w14:textId="77777777" w:rsidTr="00381303">
        <w:tc>
          <w:tcPr>
            <w:tcW w:w="4390" w:type="dxa"/>
            <w:tcBorders>
              <w:top w:val="single" w:sz="4" w:space="0" w:color="auto"/>
              <w:left w:val="single" w:sz="4" w:space="0" w:color="auto"/>
              <w:bottom w:val="single" w:sz="4" w:space="0" w:color="auto"/>
              <w:right w:val="single" w:sz="4" w:space="0" w:color="auto"/>
            </w:tcBorders>
            <w:vAlign w:val="center"/>
            <w:hideMark/>
          </w:tcPr>
          <w:p w14:paraId="74A140A4" w14:textId="77777777" w:rsidR="00381303" w:rsidRPr="00381303" w:rsidRDefault="00381303" w:rsidP="00C22BE7">
            <w:pPr>
              <w:spacing w:after="0" w:line="240" w:lineRule="auto"/>
              <w:rPr>
                <w:rFonts w:ascii="Times New Roman" w:eastAsia="Times New Roman" w:hAnsi="Times New Roman" w:cs="Times New Roman"/>
                <w:sz w:val="24"/>
                <w:szCs w:val="24"/>
                <w:lang w:eastAsia="en-AU"/>
              </w:rPr>
            </w:pPr>
            <w:r w:rsidRPr="00381303">
              <w:rPr>
                <w:rFonts w:ascii="HelveticaNeueLTPro-Lt" w:eastAsia="Times New Roman" w:hAnsi="HelveticaNeueLTPro-Lt" w:cs="Times New Roman"/>
                <w:color w:val="242021"/>
                <w:sz w:val="20"/>
                <w:szCs w:val="20"/>
                <w:lang w:eastAsia="en-AU"/>
              </w:rPr>
              <w:t xml:space="preserve">A Member of the Legislative Assembly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939B68E" w14:textId="77777777" w:rsidR="00381303" w:rsidRPr="00381303" w:rsidRDefault="00381303" w:rsidP="00C22BE7">
            <w:pPr>
              <w:spacing w:after="0" w:line="240" w:lineRule="auto"/>
              <w:rPr>
                <w:rFonts w:ascii="Times New Roman" w:eastAsia="Times New Roman" w:hAnsi="Times New Roman" w:cs="Times New Roman"/>
                <w:sz w:val="24"/>
                <w:szCs w:val="24"/>
                <w:lang w:eastAsia="en-AU"/>
              </w:rPr>
            </w:pPr>
            <w:r w:rsidRPr="00381303">
              <w:rPr>
                <w:rFonts w:ascii="HelveticaNeueLTPro-Lt" w:eastAsia="Times New Roman" w:hAnsi="HelveticaNeueLTPro-Lt" w:cs="Times New Roman"/>
                <w:color w:val="242021"/>
                <w:sz w:val="20"/>
                <w:szCs w:val="20"/>
                <w:lang w:eastAsia="en-AU"/>
              </w:rPr>
              <w:t>Speaker of the Legislative Assembly (s. 5(3)(f))</w:t>
            </w:r>
          </w:p>
        </w:tc>
      </w:tr>
      <w:tr w:rsidR="00381303" w:rsidRPr="00381303" w14:paraId="5403E346" w14:textId="77777777" w:rsidTr="00381303">
        <w:tc>
          <w:tcPr>
            <w:tcW w:w="4390" w:type="dxa"/>
            <w:tcBorders>
              <w:top w:val="single" w:sz="4" w:space="0" w:color="auto"/>
              <w:left w:val="single" w:sz="4" w:space="0" w:color="auto"/>
              <w:bottom w:val="single" w:sz="4" w:space="0" w:color="auto"/>
              <w:right w:val="single" w:sz="4" w:space="0" w:color="auto"/>
            </w:tcBorders>
            <w:vAlign w:val="center"/>
            <w:hideMark/>
          </w:tcPr>
          <w:p w14:paraId="108C0B6C" w14:textId="77777777" w:rsidR="00381303" w:rsidRPr="00381303" w:rsidRDefault="00381303" w:rsidP="00C22BE7">
            <w:pPr>
              <w:spacing w:after="0" w:line="240" w:lineRule="auto"/>
              <w:rPr>
                <w:rFonts w:ascii="Times New Roman" w:eastAsia="Times New Roman" w:hAnsi="Times New Roman" w:cs="Times New Roman"/>
                <w:sz w:val="24"/>
                <w:szCs w:val="24"/>
                <w:lang w:eastAsia="en-AU"/>
              </w:rPr>
            </w:pPr>
            <w:r w:rsidRPr="00381303">
              <w:rPr>
                <w:rFonts w:ascii="HelveticaNeueLTPro-Lt" w:eastAsia="Times New Roman" w:hAnsi="HelveticaNeueLTPro-Lt" w:cs="Times New Roman"/>
                <w:color w:val="242021"/>
                <w:sz w:val="20"/>
                <w:szCs w:val="20"/>
                <w:lang w:eastAsia="en-AU"/>
              </w:rPr>
              <w:t>A public officer who is not a Member of</w:t>
            </w:r>
            <w:r w:rsidRPr="00381303">
              <w:rPr>
                <w:rFonts w:ascii="HelveticaNeueLTPro-Lt" w:eastAsia="Times New Roman" w:hAnsi="HelveticaNeueLTPro-Lt" w:cs="Times New Roman"/>
                <w:color w:val="242021"/>
                <w:sz w:val="20"/>
                <w:szCs w:val="20"/>
                <w:lang w:eastAsia="en-AU"/>
              </w:rPr>
              <w:br/>
              <w:t>Parliament, a Minister, a judicial officer or a</w:t>
            </w:r>
            <w:r w:rsidRPr="00381303">
              <w:rPr>
                <w:rFonts w:ascii="HelveticaNeueLTPro-Lt" w:eastAsia="Times New Roman" w:hAnsi="HelveticaNeueLTPro-Lt" w:cs="Times New Roman"/>
                <w:color w:val="242021"/>
                <w:sz w:val="20"/>
                <w:szCs w:val="20"/>
                <w:lang w:eastAsia="en-AU"/>
              </w:rPr>
              <w:br/>
              <w:t>commissioned or other officer specified in</w:t>
            </w:r>
            <w:r w:rsidRPr="00381303">
              <w:rPr>
                <w:rFonts w:ascii="HelveticaNeueLTPro-Lt" w:eastAsia="Times New Roman" w:hAnsi="HelveticaNeueLTPro-Lt" w:cs="Times New Roman"/>
                <w:color w:val="242021"/>
                <w:sz w:val="20"/>
                <w:szCs w:val="20"/>
                <w:lang w:eastAsia="en-AU"/>
              </w:rPr>
              <w:br/>
              <w:t xml:space="preserve">schedule 1 of the </w:t>
            </w:r>
            <w:r w:rsidRPr="00381303">
              <w:rPr>
                <w:rFonts w:ascii="HelveticaNeueLTCom-LtIt" w:eastAsia="Times New Roman" w:hAnsi="HelveticaNeueLTCom-LtIt" w:cs="Times New Roman"/>
                <w:i/>
                <w:iCs/>
                <w:color w:val="242021"/>
                <w:sz w:val="20"/>
                <w:szCs w:val="20"/>
                <w:lang w:eastAsia="en-AU"/>
              </w:rPr>
              <w:t>Parliamentary Commissioner</w:t>
            </w:r>
            <w:r w:rsidRPr="00381303">
              <w:rPr>
                <w:rFonts w:ascii="HelveticaNeueLTCom-LtIt" w:eastAsia="Times New Roman" w:hAnsi="HelveticaNeueLTCom-LtIt" w:cs="Times New Roman"/>
                <w:i/>
                <w:iCs/>
                <w:color w:val="242021"/>
                <w:sz w:val="20"/>
                <w:szCs w:val="20"/>
                <w:lang w:eastAsia="en-AU"/>
              </w:rPr>
              <w:br/>
              <w:t>Act 1971</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79ED951" w14:textId="77777777" w:rsidR="00381303" w:rsidRPr="00381303" w:rsidRDefault="00381303" w:rsidP="00C22BE7">
            <w:pPr>
              <w:spacing w:after="0" w:line="240" w:lineRule="auto"/>
              <w:rPr>
                <w:rFonts w:ascii="Times New Roman" w:eastAsia="Times New Roman" w:hAnsi="Times New Roman" w:cs="Times New Roman"/>
                <w:sz w:val="24"/>
                <w:szCs w:val="24"/>
                <w:lang w:eastAsia="en-AU"/>
              </w:rPr>
            </w:pPr>
            <w:r w:rsidRPr="00381303">
              <w:rPr>
                <w:rFonts w:ascii="HelveticaNeueLTPro-Lt" w:eastAsia="Times New Roman" w:hAnsi="HelveticaNeueLTPro-Lt" w:cs="Times New Roman"/>
                <w:color w:val="242021"/>
                <w:sz w:val="20"/>
                <w:szCs w:val="20"/>
                <w:lang w:eastAsia="en-AU"/>
              </w:rPr>
              <w:t>Ombudsman Western Australia or the Public</w:t>
            </w:r>
            <w:r w:rsidRPr="00381303">
              <w:rPr>
                <w:rFonts w:ascii="HelveticaNeueLTPro-Lt" w:eastAsia="Times New Roman" w:hAnsi="HelveticaNeueLTPro-Lt" w:cs="Times New Roman"/>
                <w:color w:val="242021"/>
                <w:sz w:val="20"/>
                <w:szCs w:val="20"/>
                <w:lang w:eastAsia="en-AU"/>
              </w:rPr>
              <w:br/>
              <w:t>Sector Commissioner (s. 5(3)(g))</w:t>
            </w:r>
          </w:p>
        </w:tc>
      </w:tr>
      <w:tr w:rsidR="00381303" w:rsidRPr="00381303" w14:paraId="613C94F4" w14:textId="77777777" w:rsidTr="00381303">
        <w:tc>
          <w:tcPr>
            <w:tcW w:w="4390" w:type="dxa"/>
            <w:tcBorders>
              <w:top w:val="single" w:sz="4" w:space="0" w:color="auto"/>
              <w:left w:val="single" w:sz="4" w:space="0" w:color="auto"/>
              <w:bottom w:val="single" w:sz="4" w:space="0" w:color="auto"/>
              <w:right w:val="single" w:sz="4" w:space="0" w:color="auto"/>
            </w:tcBorders>
            <w:vAlign w:val="center"/>
            <w:hideMark/>
          </w:tcPr>
          <w:p w14:paraId="3432CF05" w14:textId="77777777" w:rsidR="00381303" w:rsidRPr="00381303" w:rsidRDefault="00381303" w:rsidP="00C22BE7">
            <w:pPr>
              <w:spacing w:after="0" w:line="240" w:lineRule="auto"/>
              <w:rPr>
                <w:rFonts w:ascii="Times New Roman" w:eastAsia="Times New Roman" w:hAnsi="Times New Roman" w:cs="Times New Roman"/>
                <w:sz w:val="24"/>
                <w:szCs w:val="24"/>
                <w:lang w:eastAsia="en-AU"/>
              </w:rPr>
            </w:pPr>
            <w:r w:rsidRPr="00381303">
              <w:rPr>
                <w:rFonts w:ascii="HelveticaNeueLTPro-Lt" w:eastAsia="Times New Roman" w:hAnsi="HelveticaNeueLTPro-Lt" w:cs="Times New Roman"/>
                <w:color w:val="242021"/>
                <w:sz w:val="20"/>
                <w:szCs w:val="20"/>
                <w:lang w:eastAsia="en-AU"/>
              </w:rPr>
              <w:t>The sphere of responsibility of a public authority</w:t>
            </w:r>
            <w:r w:rsidRPr="00381303">
              <w:rPr>
                <w:rFonts w:ascii="HelveticaNeueLTPro-Lt" w:eastAsia="Times New Roman" w:hAnsi="HelveticaNeueLTPro-Lt" w:cs="Times New Roman"/>
                <w:color w:val="242021"/>
                <w:sz w:val="20"/>
                <w:szCs w:val="20"/>
                <w:lang w:eastAsia="en-AU"/>
              </w:rPr>
              <w:br/>
              <w:t>(matters about the public authority or its officers,</w:t>
            </w:r>
            <w:r w:rsidRPr="00381303">
              <w:rPr>
                <w:rFonts w:ascii="HelveticaNeueLTPro-Lt" w:eastAsia="Times New Roman" w:hAnsi="HelveticaNeueLTPro-Lt" w:cs="Times New Roman"/>
                <w:color w:val="242021"/>
                <w:sz w:val="20"/>
                <w:szCs w:val="20"/>
                <w:lang w:eastAsia="en-AU"/>
              </w:rPr>
              <w:br/>
              <w:t>or which the public authority has the function of</w:t>
            </w:r>
            <w:r w:rsidRPr="00381303">
              <w:rPr>
                <w:rFonts w:ascii="HelveticaNeueLTPro-Lt" w:eastAsia="Times New Roman" w:hAnsi="HelveticaNeueLTPro-Lt" w:cs="Times New Roman"/>
                <w:color w:val="242021"/>
                <w:sz w:val="20"/>
                <w:szCs w:val="20"/>
                <w:lang w:eastAsia="en-AU"/>
              </w:rPr>
              <w:br/>
              <w:t>investigating)</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C3CBD73" w14:textId="77777777" w:rsidR="00381303" w:rsidRPr="00381303" w:rsidRDefault="00381303" w:rsidP="00C22BE7">
            <w:pPr>
              <w:spacing w:after="0" w:line="240" w:lineRule="auto"/>
              <w:rPr>
                <w:rFonts w:ascii="Times New Roman" w:eastAsia="Times New Roman" w:hAnsi="Times New Roman" w:cs="Times New Roman"/>
                <w:sz w:val="24"/>
                <w:szCs w:val="24"/>
                <w:lang w:eastAsia="en-AU"/>
              </w:rPr>
            </w:pPr>
            <w:r w:rsidRPr="00381303">
              <w:rPr>
                <w:rFonts w:ascii="HelveticaNeueLTPro-Lt" w:eastAsia="Times New Roman" w:hAnsi="HelveticaNeueLTPro-Lt" w:cs="Times New Roman"/>
                <w:color w:val="242021"/>
                <w:sz w:val="20"/>
                <w:szCs w:val="20"/>
                <w:lang w:eastAsia="en-AU"/>
              </w:rPr>
              <w:t>The PID Officer of that public authority (s. 5(3)(h))</w:t>
            </w:r>
          </w:p>
        </w:tc>
      </w:tr>
      <w:tr w:rsidR="00381303" w:rsidRPr="00381303" w14:paraId="0BC43407" w14:textId="77777777" w:rsidTr="00381303">
        <w:tc>
          <w:tcPr>
            <w:tcW w:w="4390" w:type="dxa"/>
            <w:tcBorders>
              <w:top w:val="single" w:sz="4" w:space="0" w:color="auto"/>
              <w:left w:val="single" w:sz="4" w:space="0" w:color="auto"/>
              <w:bottom w:val="single" w:sz="4" w:space="0" w:color="auto"/>
              <w:right w:val="single" w:sz="4" w:space="0" w:color="auto"/>
            </w:tcBorders>
            <w:vAlign w:val="center"/>
            <w:hideMark/>
          </w:tcPr>
          <w:p w14:paraId="6C2B4CF9" w14:textId="77777777" w:rsidR="00381303" w:rsidRPr="00381303" w:rsidRDefault="00381303" w:rsidP="00C22BE7">
            <w:pPr>
              <w:spacing w:after="0" w:line="240" w:lineRule="auto"/>
              <w:rPr>
                <w:rFonts w:ascii="Times New Roman" w:eastAsia="Times New Roman" w:hAnsi="Times New Roman" w:cs="Times New Roman"/>
                <w:sz w:val="24"/>
                <w:szCs w:val="24"/>
                <w:lang w:eastAsia="en-AU"/>
              </w:rPr>
            </w:pPr>
            <w:r w:rsidRPr="00381303">
              <w:rPr>
                <w:rFonts w:ascii="HelveticaNeueLTPro-Lt" w:eastAsia="Times New Roman" w:hAnsi="HelveticaNeueLTPro-Lt" w:cs="Times New Roman"/>
                <w:color w:val="242021"/>
                <w:sz w:val="20"/>
                <w:szCs w:val="20"/>
                <w:lang w:eastAsia="en-AU"/>
              </w:rPr>
              <w:t xml:space="preserve">A person or a matter of a prescribed class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434E1B8" w14:textId="77777777" w:rsidR="00381303" w:rsidRPr="00381303" w:rsidRDefault="00381303" w:rsidP="00C22BE7">
            <w:pPr>
              <w:spacing w:after="0" w:line="240" w:lineRule="auto"/>
              <w:rPr>
                <w:rFonts w:ascii="Times New Roman" w:eastAsia="Times New Roman" w:hAnsi="Times New Roman" w:cs="Times New Roman"/>
                <w:sz w:val="24"/>
                <w:szCs w:val="24"/>
                <w:lang w:eastAsia="en-AU"/>
              </w:rPr>
            </w:pPr>
            <w:r w:rsidRPr="00381303">
              <w:rPr>
                <w:rFonts w:ascii="HelveticaNeueLTPro-Lt" w:eastAsia="Times New Roman" w:hAnsi="HelveticaNeueLTPro-Lt" w:cs="Times New Roman"/>
                <w:color w:val="242021"/>
                <w:sz w:val="20"/>
                <w:szCs w:val="20"/>
                <w:lang w:eastAsia="en-AU"/>
              </w:rPr>
              <w:t>A person declared by the regulations to be a</w:t>
            </w:r>
            <w:r w:rsidRPr="00381303">
              <w:rPr>
                <w:rFonts w:ascii="HelveticaNeueLTPro-Lt" w:eastAsia="Times New Roman" w:hAnsi="HelveticaNeueLTPro-Lt" w:cs="Times New Roman"/>
                <w:color w:val="242021"/>
                <w:sz w:val="20"/>
                <w:szCs w:val="20"/>
                <w:lang w:eastAsia="en-AU"/>
              </w:rPr>
              <w:br/>
              <w:t>proper authority (s. 5(3)(i))</w:t>
            </w:r>
          </w:p>
        </w:tc>
      </w:tr>
    </w:tbl>
    <w:p w14:paraId="290E21B6" w14:textId="77777777" w:rsidR="00381303" w:rsidRDefault="00381303" w:rsidP="00F85498">
      <w:pPr>
        <w:jc w:val="both"/>
      </w:pPr>
    </w:p>
    <w:p w14:paraId="68DBA5D8" w14:textId="6C879939" w:rsidR="00F85498" w:rsidRDefault="00F85498" w:rsidP="00F85498">
      <w:pPr>
        <w:jc w:val="both"/>
      </w:pPr>
      <w:r>
        <w:t xml:space="preserve">A number of other requirements apply to the discloser, so it is important to understand the rights and responsibilities in the process. This information is outlined generally in </w:t>
      </w:r>
      <w:hyperlink r:id="rId12" w:history="1">
        <w:r w:rsidRPr="004900B7">
          <w:rPr>
            <w:rStyle w:val="Hyperlink"/>
            <w:i/>
          </w:rPr>
          <w:t>Don’t be afraid to speak up</w:t>
        </w:r>
      </w:hyperlink>
      <w:r>
        <w:t xml:space="preserve">, available from the Public Sector Commission website at </w:t>
      </w:r>
      <w:hyperlink r:id="rId13" w:history="1">
        <w:r w:rsidRPr="00734BF3">
          <w:rPr>
            <w:rStyle w:val="Hyperlink"/>
          </w:rPr>
          <w:t>www.publicsector.wa.gov.au</w:t>
        </w:r>
      </w:hyperlink>
      <w:r>
        <w:t xml:space="preserve">. </w:t>
      </w:r>
    </w:p>
    <w:p w14:paraId="4D7640FC" w14:textId="433D2BB1" w:rsidR="00F85498" w:rsidRDefault="00F85498" w:rsidP="00F85498">
      <w:pPr>
        <w:jc w:val="both"/>
      </w:pPr>
      <w:r>
        <w:t xml:space="preserve">At </w:t>
      </w:r>
      <w:r w:rsidR="008C16C9">
        <w:t>the Shire</w:t>
      </w:r>
      <w:r>
        <w:t xml:space="preserve"> the occupant(s) of the following designated position(s) are specified with the authority as the person(s) responsible for receiving disclosures of public interest information in accordance with s. 23(1)(a). For the purposes of this procedure a PID Officer(s) is the proper authority designated under s. 5(3)(h) for dealing with information that falls within the sphere of responsibility for </w:t>
      </w:r>
      <w:r w:rsidR="008C16C9">
        <w:t>the Shire</w:t>
      </w:r>
      <w:r>
        <w:t>.</w:t>
      </w:r>
    </w:p>
    <w:p w14:paraId="4CA7E481" w14:textId="77777777" w:rsidR="00F85498" w:rsidRDefault="00F85498" w:rsidP="00F85498">
      <w:pPr>
        <w:jc w:val="both"/>
      </w:pPr>
      <w:r>
        <w:t>Their names and contact details are:</w:t>
      </w:r>
    </w:p>
    <w:tbl>
      <w:tblPr>
        <w:tblStyle w:val="TableColumns2"/>
        <w:tblW w:w="0" w:type="auto"/>
        <w:tblLook w:val="04A0" w:firstRow="1" w:lastRow="0" w:firstColumn="1" w:lastColumn="0" w:noHBand="0" w:noVBand="1"/>
        <w:tblDescription w:val="&quot;&quot;"/>
      </w:tblPr>
      <w:tblGrid>
        <w:gridCol w:w="2932"/>
        <w:gridCol w:w="2811"/>
        <w:gridCol w:w="3441"/>
      </w:tblGrid>
      <w:tr w:rsidR="008C16C9" w14:paraId="5B02CDA6" w14:textId="77777777" w:rsidTr="00B31B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85" w:type="dxa"/>
          </w:tcPr>
          <w:p w14:paraId="5FF60459" w14:textId="77777777" w:rsidR="00F85498" w:rsidRPr="00BA6B64" w:rsidRDefault="00F85498" w:rsidP="00F85498">
            <w:pPr>
              <w:spacing w:before="144" w:after="144"/>
              <w:jc w:val="both"/>
            </w:pPr>
            <w:r w:rsidRPr="00BA6B64">
              <w:t>Position</w:t>
            </w:r>
          </w:p>
        </w:tc>
        <w:tc>
          <w:tcPr>
            <w:tcW w:w="3486" w:type="dxa"/>
          </w:tcPr>
          <w:p w14:paraId="7C11C237" w14:textId="77777777" w:rsidR="00F85498" w:rsidRPr="00BA6B64" w:rsidRDefault="00F85498" w:rsidP="00F85498">
            <w:pPr>
              <w:spacing w:before="144" w:after="144"/>
              <w:jc w:val="both"/>
              <w:cnfStyle w:val="100000000000" w:firstRow="1" w:lastRow="0" w:firstColumn="0" w:lastColumn="0" w:oddVBand="0" w:evenVBand="0" w:oddHBand="0" w:evenHBand="0" w:firstRowFirstColumn="0" w:firstRowLastColumn="0" w:lastRowFirstColumn="0" w:lastRowLastColumn="0"/>
            </w:pPr>
            <w:r w:rsidRPr="00BA6B64">
              <w:t>Name of PID Officer</w:t>
            </w:r>
          </w:p>
        </w:tc>
        <w:tc>
          <w:tcPr>
            <w:tcW w:w="3486" w:type="dxa"/>
          </w:tcPr>
          <w:p w14:paraId="5054A9CC" w14:textId="77777777" w:rsidR="00F85498" w:rsidRDefault="00F85498" w:rsidP="00F85498">
            <w:pPr>
              <w:spacing w:before="144" w:after="144"/>
              <w:jc w:val="both"/>
              <w:cnfStyle w:val="100000000000" w:firstRow="1" w:lastRow="0" w:firstColumn="0" w:lastColumn="0" w:oddVBand="0" w:evenVBand="0" w:oddHBand="0" w:evenHBand="0" w:firstRowFirstColumn="0" w:firstRowLastColumn="0" w:lastRowFirstColumn="0" w:lastRowLastColumn="0"/>
            </w:pPr>
            <w:r w:rsidRPr="00BA6B64">
              <w:t>Contact details</w:t>
            </w:r>
          </w:p>
        </w:tc>
      </w:tr>
      <w:tr w:rsidR="008C16C9" w14:paraId="4BEDA5D9" w14:textId="77777777" w:rsidTr="00984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Borders>
              <w:bottom w:val="single" w:sz="4" w:space="0" w:color="auto"/>
            </w:tcBorders>
          </w:tcPr>
          <w:p w14:paraId="159851A4" w14:textId="22E4CF09" w:rsidR="00F85498" w:rsidRPr="00C67AF7" w:rsidRDefault="008C16C9" w:rsidP="008C16C9">
            <w:r>
              <w:t>Manager Corporate Performance</w:t>
            </w:r>
          </w:p>
        </w:tc>
        <w:tc>
          <w:tcPr>
            <w:tcW w:w="3486" w:type="dxa"/>
            <w:tcBorders>
              <w:bottom w:val="single" w:sz="4" w:space="0" w:color="auto"/>
            </w:tcBorders>
          </w:tcPr>
          <w:p w14:paraId="0206E07B" w14:textId="77777777" w:rsidR="00F85498" w:rsidRDefault="008C16C9" w:rsidP="00F85498">
            <w:pPr>
              <w:jc w:val="both"/>
              <w:cnfStyle w:val="000000100000" w:firstRow="0" w:lastRow="0" w:firstColumn="0" w:lastColumn="0" w:oddVBand="0" w:evenVBand="0" w:oddHBand="1" w:evenHBand="0" w:firstRowFirstColumn="0" w:firstRowLastColumn="0" w:lastRowFirstColumn="0" w:lastRowLastColumn="0"/>
            </w:pPr>
            <w:r>
              <w:t>Melanie Aylett</w:t>
            </w:r>
          </w:p>
          <w:p w14:paraId="0F80CF7B" w14:textId="0FE5499E" w:rsidR="00384844" w:rsidRDefault="00384844" w:rsidP="00F85498">
            <w:pPr>
              <w:jc w:val="both"/>
              <w:cnfStyle w:val="000000100000" w:firstRow="0" w:lastRow="0" w:firstColumn="0" w:lastColumn="0" w:oddVBand="0" w:evenVBand="0" w:oddHBand="1" w:evenHBand="0" w:firstRowFirstColumn="0" w:firstRowLastColumn="0" w:lastRowFirstColumn="0" w:lastRowLastColumn="0"/>
            </w:pPr>
            <w:r>
              <w:t>Principle PID Officer</w:t>
            </w:r>
          </w:p>
        </w:tc>
        <w:tc>
          <w:tcPr>
            <w:tcW w:w="3486" w:type="dxa"/>
            <w:tcBorders>
              <w:bottom w:val="single" w:sz="4" w:space="0" w:color="auto"/>
            </w:tcBorders>
          </w:tcPr>
          <w:p w14:paraId="7D2D5233" w14:textId="77777777" w:rsidR="00F85498" w:rsidRDefault="008C16C9" w:rsidP="00F85498">
            <w:pPr>
              <w:spacing w:before="144" w:after="144"/>
              <w:jc w:val="both"/>
              <w:cnfStyle w:val="000000100000" w:firstRow="0" w:lastRow="0" w:firstColumn="0" w:lastColumn="0" w:oddVBand="0" w:evenVBand="0" w:oddHBand="1" w:evenHBand="0" w:firstRowFirstColumn="0" w:firstRowLastColumn="0" w:lastRowFirstColumn="0" w:lastRowLastColumn="0"/>
            </w:pPr>
            <w:r>
              <w:t>9780 5279</w:t>
            </w:r>
          </w:p>
          <w:p w14:paraId="5BA45F6C" w14:textId="71106F33" w:rsidR="008C16C9" w:rsidRDefault="006E0028" w:rsidP="00F85498">
            <w:pPr>
              <w:spacing w:before="144" w:after="144"/>
              <w:jc w:val="both"/>
              <w:cnfStyle w:val="000000100000" w:firstRow="0" w:lastRow="0" w:firstColumn="0" w:lastColumn="0" w:oddVBand="0" w:evenVBand="0" w:oddHBand="1" w:evenHBand="0" w:firstRowFirstColumn="0" w:firstRowLastColumn="0" w:lastRowFirstColumn="0" w:lastRowLastColumn="0"/>
            </w:pPr>
            <w:hyperlink r:id="rId14" w:history="1">
              <w:r w:rsidR="008C16C9" w:rsidRPr="009D30C2">
                <w:rPr>
                  <w:rStyle w:val="Hyperlink"/>
                </w:rPr>
                <w:t>maylett@amreshire.wa.gov.au</w:t>
              </w:r>
            </w:hyperlink>
          </w:p>
        </w:tc>
      </w:tr>
      <w:tr w:rsidR="00984AE8" w14:paraId="1229ACF2" w14:textId="77777777" w:rsidTr="00984AE8">
        <w:tc>
          <w:tcPr>
            <w:cnfStyle w:val="001000000000" w:firstRow="0" w:lastRow="0" w:firstColumn="1" w:lastColumn="0" w:oddVBand="0" w:evenVBand="0" w:oddHBand="0" w:evenHBand="0" w:firstRowFirstColumn="0" w:firstRowLastColumn="0" w:lastRowFirstColumn="0" w:lastRowLastColumn="0"/>
            <w:tcW w:w="3485" w:type="dxa"/>
            <w:tcBorders>
              <w:top w:val="single" w:sz="4" w:space="0" w:color="auto"/>
            </w:tcBorders>
            <w:shd w:val="clear" w:color="auto" w:fill="EDEDED" w:themeFill="accent3" w:themeFillTint="33"/>
          </w:tcPr>
          <w:p w14:paraId="60FF9AF3" w14:textId="7A9D36FB" w:rsidR="00984AE8" w:rsidRDefault="00984AE8" w:rsidP="008C16C9">
            <w:r>
              <w:t>Manager Legal and Governance</w:t>
            </w:r>
          </w:p>
        </w:tc>
        <w:tc>
          <w:tcPr>
            <w:tcW w:w="3486" w:type="dxa"/>
            <w:tcBorders>
              <w:top w:val="single" w:sz="4" w:space="0" w:color="auto"/>
            </w:tcBorders>
            <w:shd w:val="clear" w:color="auto" w:fill="EDEDED" w:themeFill="accent3" w:themeFillTint="33"/>
          </w:tcPr>
          <w:p w14:paraId="48E83465" w14:textId="442371AA" w:rsidR="00984AE8" w:rsidRDefault="00984AE8" w:rsidP="00F85498">
            <w:pPr>
              <w:jc w:val="both"/>
              <w:cnfStyle w:val="000000000000" w:firstRow="0" w:lastRow="0" w:firstColumn="0" w:lastColumn="0" w:oddVBand="0" w:evenVBand="0" w:oddHBand="0" w:evenHBand="0" w:firstRowFirstColumn="0" w:firstRowLastColumn="0" w:lastRowFirstColumn="0" w:lastRowLastColumn="0"/>
            </w:pPr>
            <w:r>
              <w:t>Ian McLeod</w:t>
            </w:r>
          </w:p>
        </w:tc>
        <w:tc>
          <w:tcPr>
            <w:tcW w:w="3486" w:type="dxa"/>
            <w:tcBorders>
              <w:top w:val="single" w:sz="4" w:space="0" w:color="auto"/>
            </w:tcBorders>
            <w:shd w:val="clear" w:color="auto" w:fill="EDEDED" w:themeFill="accent3" w:themeFillTint="33"/>
          </w:tcPr>
          <w:p w14:paraId="09928559" w14:textId="77777777" w:rsidR="00984AE8" w:rsidRDefault="00984AE8" w:rsidP="00F85498">
            <w:pPr>
              <w:spacing w:before="144" w:after="144"/>
              <w:jc w:val="both"/>
              <w:cnfStyle w:val="000000000000" w:firstRow="0" w:lastRow="0" w:firstColumn="0" w:lastColumn="0" w:oddVBand="0" w:evenVBand="0" w:oddHBand="0" w:evenHBand="0" w:firstRowFirstColumn="0" w:firstRowLastColumn="0" w:lastRowFirstColumn="0" w:lastRowLastColumn="0"/>
            </w:pPr>
            <w:r>
              <w:t>9780 5267</w:t>
            </w:r>
          </w:p>
          <w:p w14:paraId="6D241E2D" w14:textId="77777777" w:rsidR="00984AE8" w:rsidRPr="00984AE8" w:rsidRDefault="00984AE8" w:rsidP="00F85498">
            <w:pPr>
              <w:spacing w:before="144" w:after="144"/>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984AE8">
              <w:rPr>
                <w:rFonts w:cs="Arial"/>
                <w:sz w:val="22"/>
                <w:szCs w:val="22"/>
              </w:rPr>
              <w:t>0422 337 393</w:t>
            </w:r>
          </w:p>
          <w:p w14:paraId="0F2ED18C" w14:textId="43670DAE" w:rsidR="00984AE8" w:rsidRDefault="006E0028" w:rsidP="00F85498">
            <w:pPr>
              <w:spacing w:before="144" w:after="144"/>
              <w:jc w:val="both"/>
              <w:cnfStyle w:val="000000000000" w:firstRow="0" w:lastRow="0" w:firstColumn="0" w:lastColumn="0" w:oddVBand="0" w:evenVBand="0" w:oddHBand="0" w:evenHBand="0" w:firstRowFirstColumn="0" w:firstRowLastColumn="0" w:lastRowFirstColumn="0" w:lastRowLastColumn="0"/>
            </w:pPr>
            <w:hyperlink r:id="rId15" w:history="1">
              <w:r w:rsidR="00984AE8" w:rsidRPr="00984AE8">
                <w:rPr>
                  <w:rStyle w:val="Hyperlink"/>
                  <w:rFonts w:cs="Arial"/>
                  <w:sz w:val="22"/>
                  <w:szCs w:val="22"/>
                </w:rPr>
                <w:t>imcleod@amrshire.wa.gov.au</w:t>
              </w:r>
            </w:hyperlink>
            <w:r w:rsidR="00984AE8">
              <w:rPr>
                <w:rFonts w:cs="Arial"/>
                <w:color w:val="1F497D"/>
                <w:sz w:val="20"/>
              </w:rPr>
              <w:t xml:space="preserve"> </w:t>
            </w:r>
          </w:p>
        </w:tc>
      </w:tr>
    </w:tbl>
    <w:p w14:paraId="77005A15" w14:textId="77777777" w:rsidR="00F85498" w:rsidRDefault="00F85498" w:rsidP="00F85498">
      <w:pPr>
        <w:jc w:val="both"/>
      </w:pPr>
    </w:p>
    <w:p w14:paraId="2D7495CD" w14:textId="3083739A" w:rsidR="00F85498" w:rsidRDefault="00F85498" w:rsidP="008C16C9">
      <w:pPr>
        <w:spacing w:after="0" w:line="240" w:lineRule="auto"/>
        <w:jc w:val="both"/>
      </w:pPr>
      <w:r>
        <w:t xml:space="preserve">Initial discussions between the discloser and the PID Officer should be general in nature and should not discuss the specific details of the disclosure until the discloser understands their rights and responsibilities under the PID Act.  Our PID Officer will also let the discloser know that they need to make the disclosure voluntarily and consciously – we will never force a person to make a disclosure. This is because they cannot withdraw the disclosure once it is made. Once we receive your disclosure, our PID Officer is obliged to take action and we may continue to look into the matters within your disclosure irrespective of your continued approval.  </w:t>
      </w:r>
    </w:p>
    <w:p w14:paraId="3DF69863" w14:textId="77777777" w:rsidR="008C16C9" w:rsidRDefault="008C16C9" w:rsidP="008C16C9">
      <w:pPr>
        <w:spacing w:after="0" w:line="240" w:lineRule="auto"/>
        <w:jc w:val="both"/>
      </w:pPr>
    </w:p>
    <w:p w14:paraId="6CA39603" w14:textId="77777777" w:rsidR="00F85498" w:rsidRDefault="00F85498" w:rsidP="00F85498">
      <w:pPr>
        <w:jc w:val="both"/>
      </w:pPr>
      <w:r>
        <w:t xml:space="preserve">These initial discussions with our PID Officer may help in deciding whether to make a public interest disclosure and also enable the PID Officer to ascertain if the information would be covered by the PID Act. If the information appears not to be the type covered by the PID Act, our PID Officer will discuss other mechanisms through which issues may be made, for example, our general complaints or grievance resolution process. </w:t>
      </w:r>
    </w:p>
    <w:p w14:paraId="5ABEE84D" w14:textId="5BF9542E" w:rsidR="00F85498" w:rsidRDefault="00F85498" w:rsidP="00F85498">
      <w:pPr>
        <w:jc w:val="both"/>
      </w:pPr>
      <w:r>
        <w:t xml:space="preserve">Our PID Officer will be able to provide more detailed information about </w:t>
      </w:r>
      <w:r w:rsidR="00660187">
        <w:t>the Shire</w:t>
      </w:r>
      <w:r>
        <w:t>’s disclosure process and what people can expect from it.</w:t>
      </w:r>
    </w:p>
    <w:p w14:paraId="68E2AB83" w14:textId="77777777" w:rsidR="00F85498" w:rsidRDefault="00F85498" w:rsidP="00F85498">
      <w:pPr>
        <w:jc w:val="both"/>
      </w:pPr>
      <w:r>
        <w:t xml:space="preserve">You can also contact the Public Sector Commission Advisory Line on (08) 6552 8888 (or 1800 676 607 for country callers) for general information about the disclosure process. </w:t>
      </w:r>
    </w:p>
    <w:p w14:paraId="5ADA9CC0" w14:textId="77777777" w:rsidR="00F85498" w:rsidRDefault="00F85498" w:rsidP="00F85498">
      <w:pPr>
        <w:jc w:val="both"/>
      </w:pPr>
      <w:r>
        <w:t>What is ‘sphere of responsibility’?</w:t>
      </w:r>
    </w:p>
    <w:p w14:paraId="0FBC5BA0" w14:textId="77777777" w:rsidR="00F85498" w:rsidRDefault="00F85498" w:rsidP="00F85498">
      <w:pPr>
        <w:jc w:val="both"/>
      </w:pPr>
      <w:r>
        <w:t>Under s. 5(3)(h) the PID Officer for an authority can receive information relating to a matter which falls within the ‘sphere of responsibility’ for their public authority.  ‘Sphere of responsibility’ is not defined in the PID Act but may include:</w:t>
      </w:r>
    </w:p>
    <w:p w14:paraId="4813D5DA" w14:textId="6F6A16E8" w:rsidR="00F85498" w:rsidRPr="00AB6F30" w:rsidRDefault="00F85498" w:rsidP="00AB6F30">
      <w:pPr>
        <w:pStyle w:val="BulletList"/>
        <w:rPr>
          <w:i w:val="0"/>
          <w:iCs w:val="0"/>
          <w:sz w:val="22"/>
          <w:szCs w:val="22"/>
        </w:rPr>
      </w:pPr>
      <w:r w:rsidRPr="00AB6F30">
        <w:rPr>
          <w:i w:val="0"/>
          <w:iCs w:val="0"/>
          <w:sz w:val="22"/>
          <w:szCs w:val="22"/>
        </w:rPr>
        <w:t xml:space="preserve">matters that relate to </w:t>
      </w:r>
      <w:r w:rsidR="00660187" w:rsidRPr="00AB6F30">
        <w:rPr>
          <w:i w:val="0"/>
          <w:iCs w:val="0"/>
          <w:sz w:val="22"/>
          <w:szCs w:val="22"/>
        </w:rPr>
        <w:t>the Shire</w:t>
      </w:r>
      <w:r w:rsidRPr="00AB6F30">
        <w:rPr>
          <w:i w:val="0"/>
          <w:iCs w:val="0"/>
          <w:sz w:val="22"/>
          <w:szCs w:val="22"/>
        </w:rPr>
        <w:t xml:space="preserve"> or</w:t>
      </w:r>
    </w:p>
    <w:p w14:paraId="3BFFE609" w14:textId="505586BE" w:rsidR="00F85498" w:rsidRPr="00AB6F30" w:rsidRDefault="00F85498" w:rsidP="00AB6F30">
      <w:pPr>
        <w:pStyle w:val="BulletList"/>
        <w:rPr>
          <w:i w:val="0"/>
          <w:iCs w:val="0"/>
          <w:sz w:val="22"/>
          <w:szCs w:val="22"/>
        </w:rPr>
      </w:pPr>
      <w:r w:rsidRPr="00AB6F30">
        <w:rPr>
          <w:i w:val="0"/>
          <w:iCs w:val="0"/>
          <w:sz w:val="22"/>
          <w:szCs w:val="22"/>
        </w:rPr>
        <w:t xml:space="preserve">a public officer or public sector contractor of </w:t>
      </w:r>
      <w:r w:rsidR="00660187" w:rsidRPr="00AB6F30">
        <w:rPr>
          <w:i w:val="0"/>
          <w:iCs w:val="0"/>
          <w:sz w:val="22"/>
          <w:szCs w:val="22"/>
        </w:rPr>
        <w:t xml:space="preserve">the Shire </w:t>
      </w:r>
      <w:r w:rsidRPr="00AB6F30">
        <w:rPr>
          <w:i w:val="0"/>
          <w:iCs w:val="0"/>
          <w:sz w:val="22"/>
          <w:szCs w:val="22"/>
        </w:rPr>
        <w:t>or</w:t>
      </w:r>
    </w:p>
    <w:p w14:paraId="231D46A4" w14:textId="62F7054E" w:rsidR="00660187" w:rsidRPr="00AB6F30" w:rsidRDefault="00F85498" w:rsidP="00AB6F30">
      <w:pPr>
        <w:pStyle w:val="BulletList"/>
        <w:rPr>
          <w:i w:val="0"/>
          <w:iCs w:val="0"/>
          <w:sz w:val="22"/>
          <w:szCs w:val="22"/>
        </w:rPr>
      </w:pPr>
      <w:r w:rsidRPr="00AB6F30">
        <w:rPr>
          <w:i w:val="0"/>
          <w:iCs w:val="0"/>
          <w:sz w:val="22"/>
          <w:szCs w:val="22"/>
        </w:rPr>
        <w:t xml:space="preserve">a matter or person that the </w:t>
      </w:r>
      <w:r w:rsidR="00660187" w:rsidRPr="00AB6F30">
        <w:rPr>
          <w:i w:val="0"/>
          <w:iCs w:val="0"/>
          <w:sz w:val="22"/>
          <w:szCs w:val="22"/>
        </w:rPr>
        <w:t>Shire</w:t>
      </w:r>
      <w:r w:rsidRPr="00AB6F30">
        <w:rPr>
          <w:i w:val="0"/>
          <w:iCs w:val="0"/>
          <w:sz w:val="22"/>
          <w:szCs w:val="22"/>
        </w:rPr>
        <w:t xml:space="preserve"> has a function or power to investigate.</w:t>
      </w:r>
    </w:p>
    <w:p w14:paraId="39936BBC" w14:textId="77777777" w:rsidR="00660187" w:rsidRPr="00660187" w:rsidRDefault="00660187" w:rsidP="00AB6F30">
      <w:pPr>
        <w:pStyle w:val="BulletList"/>
        <w:numPr>
          <w:ilvl w:val="0"/>
          <w:numId w:val="0"/>
        </w:numPr>
        <w:ind w:left="284"/>
      </w:pPr>
    </w:p>
    <w:p w14:paraId="79508769" w14:textId="6E6037E3" w:rsidR="00F85498" w:rsidRDefault="00F85498" w:rsidP="00F85498">
      <w:pPr>
        <w:jc w:val="both"/>
      </w:pPr>
      <w:r w:rsidRPr="004900B7">
        <w:t xml:space="preserve">The proper authority to which you need to make the disclosure depends on the type of disclosure information. Where the information is outside of our PID Officer’s sphere of responsibility, it may need to be made to another proper authority for it to be considered as a public interest disclosure and for the discloser to receive the protections of the PID Act. A list of proper authorities and the information they can receive is covered in </w:t>
      </w:r>
      <w:hyperlink r:id="rId16" w:history="1">
        <w:r w:rsidR="00AB6F30">
          <w:rPr>
            <w:rStyle w:val="Hyperlink"/>
            <w:i/>
          </w:rPr>
          <w:t>Don’t be afraid to speak up</w:t>
        </w:r>
      </w:hyperlink>
      <w:r w:rsidR="00AB6F30">
        <w:t>.</w:t>
      </w:r>
    </w:p>
    <w:p w14:paraId="2167AEFF" w14:textId="77777777" w:rsidR="00F85498" w:rsidRDefault="00F85498" w:rsidP="00F85498">
      <w:pPr>
        <w:spacing w:after="0" w:line="240" w:lineRule="auto"/>
        <w:jc w:val="both"/>
      </w:pPr>
      <w:r>
        <w:br w:type="page"/>
      </w:r>
    </w:p>
    <w:p w14:paraId="07D595C1" w14:textId="607DA3E9" w:rsidR="00F85498" w:rsidRDefault="00F85498" w:rsidP="00F85498">
      <w:pPr>
        <w:jc w:val="both"/>
      </w:pPr>
    </w:p>
    <w:p w14:paraId="27DEC05E" w14:textId="77777777" w:rsidR="00F85498" w:rsidRDefault="00F85498" w:rsidP="00AB6F30">
      <w:pPr>
        <w:pStyle w:val="Heading2"/>
        <w:numPr>
          <w:ilvl w:val="0"/>
          <w:numId w:val="0"/>
        </w:numPr>
      </w:pPr>
      <w:bookmarkStart w:id="8" w:name="_Toc508616418"/>
      <w:r>
        <w:t>2.</w:t>
      </w:r>
      <w:r>
        <w:tab/>
        <w:t>Making the disclosure</w:t>
      </w:r>
      <w:bookmarkEnd w:id="8"/>
    </w:p>
    <w:p w14:paraId="278692EB" w14:textId="77777777" w:rsidR="00F85498" w:rsidRDefault="00F85498" w:rsidP="00F85498">
      <w:pPr>
        <w:jc w:val="both"/>
      </w:pPr>
      <w:r>
        <w:t>A discloser needs to clearly identify that they are making a public interest disclosure. For the purposes of accountability and certainty, persons wishing to make a disclosure of public interest information under the PID Act are encouraged to do so in writing. As we expect that most disclosures will be made in writing the [insert name of public authority] has developed a form which can be used for the purpose of making such a disclosure. There is no requirement to use the form. The form will help to define the details of the disclosure.  A discloser may fill out the form themself or our PID Officer may complete the form if they are speaking with the discloser and then have them sign the form to acknowledge they are making a disclosure voluntarily and consciously.</w:t>
      </w:r>
    </w:p>
    <w:p w14:paraId="70BF00C2" w14:textId="77777777" w:rsidR="00F85498" w:rsidRDefault="00F85498" w:rsidP="00F85498">
      <w:pPr>
        <w:jc w:val="both"/>
      </w:pPr>
      <w:r>
        <w:t>We must accept anonymous disclosures, but if a discloser decides to make an anonymous disclosure they should understand that it may be more difficult for our PID Officer to investigate or take action about the disclosure. This is because they cannot come back to seek any further information.  We are also not required to provide any reports about the progress or final outcome of the disclosure, if the discloser chooses to remain anonymous.</w:t>
      </w:r>
    </w:p>
    <w:p w14:paraId="6A8D05F0" w14:textId="502A9D2E" w:rsidR="00F85498" w:rsidRDefault="00F85498" w:rsidP="00F85498">
      <w:pPr>
        <w:jc w:val="both"/>
      </w:pPr>
      <w:r>
        <w:t xml:space="preserve">An anonymous disclosure may not prevent the discloser from being identified during an investigation. Additionally, if our PID Officer does not know who made the disclosure, it will be difficult for them to ensure the discloser is protected and to prevent any reprisal or detrimental action.  </w:t>
      </w:r>
    </w:p>
    <w:p w14:paraId="0DDCDBA2" w14:textId="77777777" w:rsidR="00AB6F30" w:rsidRDefault="00AB6F30" w:rsidP="00F85498">
      <w:pPr>
        <w:jc w:val="both"/>
      </w:pPr>
    </w:p>
    <w:p w14:paraId="7941DC39" w14:textId="77777777" w:rsidR="00F85498" w:rsidRDefault="00F85498" w:rsidP="00AB6F30">
      <w:pPr>
        <w:pStyle w:val="Heading2"/>
        <w:numPr>
          <w:ilvl w:val="0"/>
          <w:numId w:val="0"/>
        </w:numPr>
      </w:pPr>
      <w:bookmarkStart w:id="9" w:name="_Toc508616420"/>
      <w:r>
        <w:t>3.</w:t>
      </w:r>
      <w:r>
        <w:tab/>
        <w:t>Determining whether your matter is an appropriate disclosure</w:t>
      </w:r>
      <w:bookmarkEnd w:id="9"/>
    </w:p>
    <w:p w14:paraId="6EAA7183" w14:textId="77777777" w:rsidR="00F85498" w:rsidRDefault="00F85498" w:rsidP="00F85498">
      <w:pPr>
        <w:jc w:val="both"/>
      </w:pPr>
      <w:r>
        <w:t>Once our PID Officer has received the disclosure they will assess whether it meets the requirements under the PID Act. It may be that our PID Officer undertakes initial inquiries and decides not to take the matter any further, as it does not constitute an appropriate public interest disclosure.</w:t>
      </w:r>
    </w:p>
    <w:p w14:paraId="1BD1A3B5" w14:textId="77777777" w:rsidR="00F85498" w:rsidRDefault="00F85498" w:rsidP="00F85498">
      <w:pPr>
        <w:jc w:val="both"/>
      </w:pPr>
      <w:r>
        <w:t xml:space="preserve">If the disclosure is not one to which the PID Act applies, our PID Officer will let the discloser know the reasons for their decision (unless you made an anonymous disclosure) and make proper and adequate records about it.  Some matters raised within the disclosure may not be matters to which the PID Act applies and the PID Officer may discuss with the discloser other pathways to report these matters. </w:t>
      </w:r>
    </w:p>
    <w:p w14:paraId="548206A2" w14:textId="77777777" w:rsidR="00F85498" w:rsidRDefault="00F85498" w:rsidP="00F85498">
      <w:pPr>
        <w:jc w:val="both"/>
      </w:pPr>
      <w:r>
        <w:t xml:space="preserve">If the disclosure is one to which the PID Act applies, our PID Officer will ensure proper and adequate records are made and will communicate with the discloser further, unless it is an anonymous disclosure. </w:t>
      </w:r>
    </w:p>
    <w:p w14:paraId="1B455151" w14:textId="77777777" w:rsidR="00F85498" w:rsidRDefault="00F85498" w:rsidP="00F85498">
      <w:pPr>
        <w:jc w:val="both"/>
      </w:pPr>
      <w:r>
        <w:t>Our PID Officer will notify the discloser within three months about what we plan to do in dealing with the disclosure, unless it is an anonymous disclosure.</w:t>
      </w:r>
    </w:p>
    <w:p w14:paraId="4D4D4972" w14:textId="77777777" w:rsidR="00F85498" w:rsidRDefault="00F85498" w:rsidP="00F85498">
      <w:pPr>
        <w:spacing w:after="0" w:line="240" w:lineRule="auto"/>
        <w:jc w:val="both"/>
      </w:pPr>
      <w:r>
        <w:br w:type="page"/>
      </w:r>
    </w:p>
    <w:p w14:paraId="29077D05" w14:textId="77777777" w:rsidR="00F85498" w:rsidRDefault="00F85498" w:rsidP="0049310E">
      <w:pPr>
        <w:pStyle w:val="Heading2"/>
        <w:numPr>
          <w:ilvl w:val="0"/>
          <w:numId w:val="0"/>
        </w:numPr>
        <w:ind w:left="360" w:hanging="360"/>
      </w:pPr>
      <w:bookmarkStart w:id="10" w:name="_Toc508616421"/>
      <w:r>
        <w:t>4.</w:t>
      </w:r>
      <w:r>
        <w:tab/>
        <w:t>Determining whether your public interest disclosure will be investigated</w:t>
      </w:r>
      <w:bookmarkEnd w:id="10"/>
    </w:p>
    <w:p w14:paraId="1F540428" w14:textId="77777777" w:rsidR="00F85498" w:rsidRDefault="00F85498" w:rsidP="00F85498">
      <w:pPr>
        <w:jc w:val="both"/>
      </w:pPr>
      <w:r>
        <w:t xml:space="preserve">After assessing the disclosure as one to which the PID Act applies, our PID Officer will consider whether it will be investigated, guided by the requirements in s. 8. The reasons a PID Officer may not investigate the disclosure include: </w:t>
      </w:r>
    </w:p>
    <w:p w14:paraId="7530361D" w14:textId="77777777" w:rsidR="00F85498" w:rsidRPr="0049310E" w:rsidRDefault="00F85498" w:rsidP="00AB6F30">
      <w:pPr>
        <w:pStyle w:val="BulletList"/>
        <w:rPr>
          <w:i w:val="0"/>
          <w:iCs w:val="0"/>
          <w:sz w:val="22"/>
          <w:szCs w:val="22"/>
        </w:rPr>
      </w:pPr>
      <w:r w:rsidRPr="0049310E">
        <w:rPr>
          <w:i w:val="0"/>
          <w:iCs w:val="0"/>
          <w:sz w:val="22"/>
          <w:szCs w:val="22"/>
        </w:rPr>
        <w:t xml:space="preserve">the matter is trivial </w:t>
      </w:r>
    </w:p>
    <w:p w14:paraId="5598F098" w14:textId="77777777" w:rsidR="00F85498" w:rsidRPr="0049310E" w:rsidRDefault="00F85498" w:rsidP="00AB6F30">
      <w:pPr>
        <w:pStyle w:val="BulletList"/>
        <w:rPr>
          <w:i w:val="0"/>
          <w:iCs w:val="0"/>
          <w:sz w:val="22"/>
          <w:szCs w:val="22"/>
        </w:rPr>
      </w:pPr>
      <w:r w:rsidRPr="0049310E">
        <w:rPr>
          <w:i w:val="0"/>
          <w:iCs w:val="0"/>
          <w:sz w:val="22"/>
          <w:szCs w:val="22"/>
        </w:rPr>
        <w:t>the disclosure is vexatious or frivolous</w:t>
      </w:r>
    </w:p>
    <w:p w14:paraId="6752CD02" w14:textId="77777777" w:rsidR="00F85498" w:rsidRPr="0049310E" w:rsidRDefault="00F85498" w:rsidP="00AB6F30">
      <w:pPr>
        <w:pStyle w:val="BulletList"/>
        <w:rPr>
          <w:i w:val="0"/>
          <w:iCs w:val="0"/>
          <w:sz w:val="22"/>
          <w:szCs w:val="22"/>
        </w:rPr>
      </w:pPr>
      <w:r w:rsidRPr="0049310E">
        <w:rPr>
          <w:i w:val="0"/>
          <w:iCs w:val="0"/>
          <w:sz w:val="22"/>
          <w:szCs w:val="22"/>
        </w:rPr>
        <w:t xml:space="preserve">there is no reasonable prospect of obtaining sufficient evidence due to the time that has elapsed since the matter(s) occurred </w:t>
      </w:r>
    </w:p>
    <w:p w14:paraId="6E8FC51A" w14:textId="77777777" w:rsidR="00F85498" w:rsidRPr="0049310E" w:rsidRDefault="00F85498" w:rsidP="00AB6F30">
      <w:pPr>
        <w:pStyle w:val="BulletList"/>
        <w:rPr>
          <w:i w:val="0"/>
          <w:iCs w:val="0"/>
          <w:sz w:val="22"/>
          <w:szCs w:val="22"/>
        </w:rPr>
      </w:pPr>
      <w:r w:rsidRPr="0049310E">
        <w:rPr>
          <w:i w:val="0"/>
          <w:iCs w:val="0"/>
          <w:sz w:val="22"/>
          <w:szCs w:val="22"/>
        </w:rPr>
        <w:t xml:space="preserve">the matter is being or has been adequately or properly investigated by another proper authority, s. 5(3).  </w:t>
      </w:r>
    </w:p>
    <w:p w14:paraId="1C896E8F" w14:textId="126E4EA1" w:rsidR="00F85498" w:rsidRDefault="00F85498" w:rsidP="00F85498">
      <w:pPr>
        <w:jc w:val="both"/>
      </w:pPr>
      <w:r>
        <w:t>Our PID Officer will make proper and adequate records of their decision and reasons about whether to investigate or not.</w:t>
      </w:r>
    </w:p>
    <w:p w14:paraId="2CCB222C" w14:textId="77777777" w:rsidR="0049310E" w:rsidRDefault="0049310E" w:rsidP="00F85498">
      <w:pPr>
        <w:jc w:val="both"/>
      </w:pPr>
    </w:p>
    <w:p w14:paraId="2A7C6AA6" w14:textId="77777777" w:rsidR="00F85498" w:rsidRDefault="00F85498" w:rsidP="0049310E">
      <w:pPr>
        <w:pStyle w:val="Heading2"/>
        <w:numPr>
          <w:ilvl w:val="0"/>
          <w:numId w:val="0"/>
        </w:numPr>
      </w:pPr>
      <w:bookmarkStart w:id="11" w:name="_Toc508616423"/>
      <w:r>
        <w:t>5.</w:t>
      </w:r>
      <w:r>
        <w:tab/>
        <w:t>Referring public interest matters</w:t>
      </w:r>
      <w:bookmarkEnd w:id="11"/>
    </w:p>
    <w:p w14:paraId="02143208" w14:textId="77777777" w:rsidR="00F85498" w:rsidRDefault="00F85498" w:rsidP="00F85498">
      <w:pPr>
        <w:jc w:val="both"/>
      </w:pPr>
      <w:r>
        <w:t>Where our PID Officer assesses the disclosure as one to which the PID Act applies, but they do not have the functions or power to investigate one or more matters within the disclosure, they will refer the information to the appropriate authority for investigation as provided for under the PID Act. Alternatively, a discloser may also be able to make a disclosure directly to this new authority, if they wish to receive reports from them about the disclosure.  For example, our PID Officer may need to refer an allegation of an offence supported by evidence to the Western Australia Police for investigation.</w:t>
      </w:r>
    </w:p>
    <w:p w14:paraId="5BD01A92" w14:textId="77777777" w:rsidR="00F85498" w:rsidRDefault="00F85498" w:rsidP="00F85498">
      <w:pPr>
        <w:spacing w:after="0" w:line="240" w:lineRule="auto"/>
        <w:jc w:val="both"/>
      </w:pPr>
      <w:r>
        <w:br w:type="page"/>
      </w:r>
    </w:p>
    <w:p w14:paraId="59983FB0" w14:textId="77777777" w:rsidR="00F85498" w:rsidRDefault="00F85498" w:rsidP="0049310E">
      <w:pPr>
        <w:pStyle w:val="Heading2"/>
        <w:numPr>
          <w:ilvl w:val="0"/>
          <w:numId w:val="0"/>
        </w:numPr>
      </w:pPr>
      <w:bookmarkStart w:id="12" w:name="_Toc508616424"/>
      <w:r>
        <w:t>6.</w:t>
      </w:r>
      <w:r>
        <w:tab/>
        <w:t>Investigating the disclosure</w:t>
      </w:r>
      <w:bookmarkEnd w:id="12"/>
    </w:p>
    <w:p w14:paraId="40D01BF4" w14:textId="1BF6A948" w:rsidR="00F85498" w:rsidRDefault="00F85498" w:rsidP="00F85498">
      <w:pPr>
        <w:jc w:val="both"/>
      </w:pPr>
      <w:r>
        <w:t xml:space="preserve">Our PID Officer will investigate, or cause to be investigated, any matters in the disclosure within the sphere of responsibility. Our PID Officer may cause the disclosure to be investigated by engaging a suitably skilled staff member within the </w:t>
      </w:r>
      <w:r w:rsidR="0049310E">
        <w:t>Shire</w:t>
      </w:r>
      <w:r>
        <w:t xml:space="preserve"> or an externally contracted investigator.</w:t>
      </w:r>
    </w:p>
    <w:p w14:paraId="0ACD3164" w14:textId="77777777" w:rsidR="00F85498" w:rsidRDefault="00F85498" w:rsidP="00F85498">
      <w:pPr>
        <w:jc w:val="both"/>
      </w:pPr>
      <w:r>
        <w:t xml:space="preserve">If causing the disclosure to be investigated, our PID Officer will ensure that the person undertaking the investigation understands the requirements of the PID Act, in particular the confidentiality requirements and protections for disclosers. Our PID Officer will only provide the name of the discloser and that of the subject of the disclosure to the investigator in accordance with s. 16 of the PID Act.  </w:t>
      </w:r>
    </w:p>
    <w:p w14:paraId="7CEC8352" w14:textId="77777777" w:rsidR="00F85498" w:rsidRDefault="00F85498" w:rsidP="00F85498">
      <w:pPr>
        <w:jc w:val="both"/>
      </w:pPr>
      <w:r>
        <w:t>When investigating the disclosure, our PID Officer or investigator is limited by the functions and powers derived from our operating legislation. The PID Act does not provide for any additional investigative powers.</w:t>
      </w:r>
    </w:p>
    <w:p w14:paraId="1876D142" w14:textId="77777777" w:rsidR="00F85498" w:rsidRDefault="00F85498" w:rsidP="00F85498">
      <w:pPr>
        <w:jc w:val="both"/>
      </w:pPr>
      <w:r>
        <w:t xml:space="preserve">If you are an employee, you are expected to cooperate with any investigation into the disclosure to maintain the protections under the PID Act. A discloser is also expected to act in accordance with our Code of conduct at all times. </w:t>
      </w:r>
    </w:p>
    <w:p w14:paraId="21469D2E" w14:textId="77777777" w:rsidR="00F85498" w:rsidRDefault="00F85498" w:rsidP="00F85498">
      <w:pPr>
        <w:jc w:val="both"/>
      </w:pPr>
      <w:r>
        <w:t>Employees who are the subject of the disclosure can clarify the process and what to expect with our PID Officer.</w:t>
      </w:r>
    </w:p>
    <w:p w14:paraId="2D08BD23" w14:textId="77777777" w:rsidR="00F85498" w:rsidRDefault="00F85498" w:rsidP="00F85498">
      <w:pPr>
        <w:jc w:val="both"/>
      </w:pPr>
      <w:r>
        <w:t xml:space="preserve">Our PID Officer may also decide to discontinue an investigation, in accordance with s. 8(2). If this happens, they will give the discloser reasons for their decision in accordance with </w:t>
      </w:r>
    </w:p>
    <w:p w14:paraId="434CAFDF" w14:textId="77777777" w:rsidR="00F85498" w:rsidRDefault="00F85498" w:rsidP="00F85498">
      <w:pPr>
        <w:jc w:val="both"/>
      </w:pPr>
      <w:r>
        <w:t>s. 8(3), unless they made an anonymous disclosure. The PID Officer may also notify any subject(s) of the disclosure, if they discontinue the investigation.</w:t>
      </w:r>
    </w:p>
    <w:p w14:paraId="7003D4C7" w14:textId="4AADBB34" w:rsidR="00F85498" w:rsidRDefault="00F85498" w:rsidP="00F85498">
      <w:pPr>
        <w:jc w:val="both"/>
      </w:pPr>
      <w:r>
        <w:t>To ensure the disclosure is adequately and properly investigated our PID Officer, or other investigator, will be guided by the procedures below.</w:t>
      </w:r>
    </w:p>
    <w:p w14:paraId="3A015CAD" w14:textId="3F871FB3" w:rsidR="0049310E" w:rsidRDefault="0049310E" w:rsidP="00F85498">
      <w:pPr>
        <w:jc w:val="both"/>
      </w:pPr>
    </w:p>
    <w:p w14:paraId="7774055F" w14:textId="77777777" w:rsidR="00F85498" w:rsidRDefault="00F85498" w:rsidP="00F85498">
      <w:pPr>
        <w:jc w:val="both"/>
      </w:pPr>
    </w:p>
    <w:p w14:paraId="38FF0F4A" w14:textId="77777777" w:rsidR="00F85498" w:rsidRDefault="00F85498" w:rsidP="00F85498">
      <w:pPr>
        <w:spacing w:after="0" w:line="240" w:lineRule="auto"/>
        <w:jc w:val="both"/>
      </w:pPr>
      <w:r>
        <w:br w:type="page"/>
      </w:r>
    </w:p>
    <w:p w14:paraId="2BFA5470" w14:textId="77777777" w:rsidR="00F85498" w:rsidRDefault="00F85498" w:rsidP="0049310E">
      <w:pPr>
        <w:pStyle w:val="Heading3"/>
        <w:numPr>
          <w:ilvl w:val="0"/>
          <w:numId w:val="0"/>
        </w:numPr>
      </w:pPr>
      <w:r>
        <w:t>What are your responsibilities if you are the subject of a disclosure?</w:t>
      </w:r>
    </w:p>
    <w:p w14:paraId="3D861C43" w14:textId="77777777" w:rsidR="00F85498" w:rsidRDefault="00F85498" w:rsidP="00F85498">
      <w:pPr>
        <w:jc w:val="both"/>
      </w:pPr>
      <w:r>
        <w:t xml:space="preserve">A subject of a disclosure is a person of interest about whom an allegation of a public interest disclosure has been made.  </w:t>
      </w:r>
    </w:p>
    <w:p w14:paraId="5CF70C6E" w14:textId="77777777" w:rsidR="00F85498" w:rsidRDefault="00F85498" w:rsidP="00F85498">
      <w:pPr>
        <w:jc w:val="both"/>
      </w:pPr>
      <w:r>
        <w:t xml:space="preserve">We will treat the person fairly and impartially throughout the process, and inform them of their rights and obligations.  We will generally keep the parties involved informed during any investigation, although we cannot release any information to the person that may prejudice our investigation. As an employee it is expected that they will act in accordance with our Code of conduct at all times.  </w:t>
      </w:r>
    </w:p>
    <w:p w14:paraId="0CA4CCDA" w14:textId="77777777" w:rsidR="00F85498" w:rsidRDefault="00F85498" w:rsidP="00F85498">
      <w:pPr>
        <w:jc w:val="both"/>
      </w:pPr>
      <w:r>
        <w:t>The PID Act provides the person with some rights and obligations as a person subject to a disclosure.  Firstly, the subject has a right to have their identity kept confidential under s. 16(3), unless one of the following conditions apply:</w:t>
      </w:r>
    </w:p>
    <w:p w14:paraId="29538876" w14:textId="77777777" w:rsidR="00F85498" w:rsidRPr="0049310E" w:rsidRDefault="00F85498" w:rsidP="00AB6F30">
      <w:pPr>
        <w:pStyle w:val="BulletList"/>
        <w:rPr>
          <w:i w:val="0"/>
          <w:iCs w:val="0"/>
          <w:sz w:val="22"/>
          <w:szCs w:val="22"/>
        </w:rPr>
      </w:pPr>
      <w:r w:rsidRPr="0049310E">
        <w:rPr>
          <w:i w:val="0"/>
          <w:iCs w:val="0"/>
          <w:sz w:val="22"/>
          <w:szCs w:val="22"/>
        </w:rPr>
        <w:t>you consent to your identity being disclosed</w:t>
      </w:r>
    </w:p>
    <w:p w14:paraId="04A6D25D" w14:textId="77777777" w:rsidR="00F85498" w:rsidRPr="0049310E" w:rsidRDefault="00F85498" w:rsidP="00AB6F30">
      <w:pPr>
        <w:pStyle w:val="BulletList"/>
        <w:rPr>
          <w:i w:val="0"/>
          <w:iCs w:val="0"/>
          <w:sz w:val="22"/>
          <w:szCs w:val="22"/>
        </w:rPr>
      </w:pPr>
      <w:r w:rsidRPr="0049310E">
        <w:rPr>
          <w:i w:val="0"/>
          <w:iCs w:val="0"/>
          <w:sz w:val="22"/>
          <w:szCs w:val="22"/>
        </w:rPr>
        <w:t>it is necessary to enable the matter to be investigated effectively</w:t>
      </w:r>
    </w:p>
    <w:p w14:paraId="0EE0F5CE" w14:textId="77777777" w:rsidR="00F85498" w:rsidRPr="0049310E" w:rsidRDefault="00F85498" w:rsidP="00AB6F30">
      <w:pPr>
        <w:pStyle w:val="BulletList"/>
        <w:rPr>
          <w:i w:val="0"/>
          <w:iCs w:val="0"/>
          <w:sz w:val="22"/>
          <w:szCs w:val="22"/>
        </w:rPr>
      </w:pPr>
      <w:r w:rsidRPr="0049310E">
        <w:rPr>
          <w:i w:val="0"/>
          <w:iCs w:val="0"/>
          <w:sz w:val="22"/>
          <w:szCs w:val="22"/>
        </w:rPr>
        <w:t>it is necessary to do so in taking action within s. 9</w:t>
      </w:r>
    </w:p>
    <w:p w14:paraId="6742A644" w14:textId="77777777" w:rsidR="00F85498" w:rsidRPr="0049310E" w:rsidRDefault="00F85498" w:rsidP="00AB6F30">
      <w:pPr>
        <w:pStyle w:val="BulletList"/>
        <w:rPr>
          <w:i w:val="0"/>
          <w:iCs w:val="0"/>
          <w:sz w:val="22"/>
          <w:szCs w:val="22"/>
        </w:rPr>
      </w:pPr>
      <w:r w:rsidRPr="0049310E">
        <w:rPr>
          <w:i w:val="0"/>
          <w:iCs w:val="0"/>
          <w:sz w:val="22"/>
          <w:szCs w:val="22"/>
        </w:rPr>
        <w:t>there are reasonable grounds to believe that it is necessary to prevent or minimise the risk of injury to any person or damage to any property</w:t>
      </w:r>
    </w:p>
    <w:p w14:paraId="02F17505" w14:textId="77777777" w:rsidR="00F85498" w:rsidRPr="0049310E" w:rsidRDefault="00F85498" w:rsidP="00AB6F30">
      <w:pPr>
        <w:pStyle w:val="BulletList"/>
        <w:rPr>
          <w:i w:val="0"/>
          <w:iCs w:val="0"/>
          <w:sz w:val="22"/>
          <w:szCs w:val="22"/>
        </w:rPr>
      </w:pPr>
      <w:r w:rsidRPr="0049310E">
        <w:rPr>
          <w:i w:val="0"/>
          <w:iCs w:val="0"/>
          <w:sz w:val="22"/>
          <w:szCs w:val="22"/>
        </w:rPr>
        <w:t>is made in accordance with a court order or other body having authority to hear evidence</w:t>
      </w:r>
    </w:p>
    <w:p w14:paraId="0422ED07" w14:textId="77777777" w:rsidR="00F85498" w:rsidRPr="0049310E" w:rsidRDefault="00F85498" w:rsidP="00AB6F30">
      <w:pPr>
        <w:pStyle w:val="BulletList"/>
        <w:rPr>
          <w:i w:val="0"/>
          <w:iCs w:val="0"/>
          <w:sz w:val="22"/>
          <w:szCs w:val="22"/>
        </w:rPr>
      </w:pPr>
      <w:r w:rsidRPr="0049310E">
        <w:rPr>
          <w:i w:val="0"/>
          <w:iCs w:val="0"/>
          <w:sz w:val="22"/>
          <w:szCs w:val="22"/>
        </w:rPr>
        <w:t>it is made in accordance with ss. 152 or 153 of the Corruption, Crime and Misconduct Act 2003.</w:t>
      </w:r>
    </w:p>
    <w:p w14:paraId="4AEBDF77" w14:textId="77777777" w:rsidR="00F85498" w:rsidRDefault="00F85498" w:rsidP="00F85498">
      <w:pPr>
        <w:jc w:val="both"/>
      </w:pPr>
      <w:r>
        <w:t>We will also provide appropriate natural justice. This means that, before we take any disciplinary or other action against the person under s. 9, we will give you the opportunity to:</w:t>
      </w:r>
    </w:p>
    <w:p w14:paraId="55E8B25C" w14:textId="77777777" w:rsidR="00F85498" w:rsidRPr="0049310E" w:rsidRDefault="00F85498" w:rsidP="00AB6F30">
      <w:pPr>
        <w:pStyle w:val="BulletList"/>
        <w:rPr>
          <w:i w:val="0"/>
          <w:iCs w:val="0"/>
          <w:sz w:val="22"/>
          <w:szCs w:val="22"/>
        </w:rPr>
      </w:pPr>
      <w:r w:rsidRPr="0049310E">
        <w:rPr>
          <w:i w:val="0"/>
          <w:iCs w:val="0"/>
          <w:sz w:val="22"/>
          <w:szCs w:val="22"/>
        </w:rPr>
        <w:t>be informed of the substance of the allegations and</w:t>
      </w:r>
    </w:p>
    <w:p w14:paraId="5B0F51AE" w14:textId="77777777" w:rsidR="00F85498" w:rsidRPr="0049310E" w:rsidRDefault="00F85498" w:rsidP="00AB6F30">
      <w:pPr>
        <w:pStyle w:val="BulletList"/>
        <w:rPr>
          <w:i w:val="0"/>
          <w:iCs w:val="0"/>
          <w:sz w:val="22"/>
          <w:szCs w:val="22"/>
        </w:rPr>
      </w:pPr>
      <w:r w:rsidRPr="0049310E">
        <w:rPr>
          <w:i w:val="0"/>
          <w:iCs w:val="0"/>
          <w:sz w:val="22"/>
          <w:szCs w:val="22"/>
        </w:rPr>
        <w:t>make a submission either verbally or in writing in relation to the matter.</w:t>
      </w:r>
    </w:p>
    <w:p w14:paraId="75BD6D61" w14:textId="77777777" w:rsidR="00F85498" w:rsidRDefault="00F85498" w:rsidP="00F85498">
      <w:pPr>
        <w:jc w:val="both"/>
      </w:pPr>
      <w:r>
        <w:t>If you are the subject of a disclosure, you must not identify or tend to identify the identity of the discloser or a person who they think might be the discloser, as they also have rights to confidentiality under the PID Act.  It is an offence under s. 16 to identify or tend to identify any person who has made a disclosure under the PID Act.</w:t>
      </w:r>
    </w:p>
    <w:p w14:paraId="7F1A1506" w14:textId="77777777" w:rsidR="00F85498" w:rsidRDefault="00F85498" w:rsidP="00F85498">
      <w:pPr>
        <w:jc w:val="both"/>
      </w:pPr>
      <w:r>
        <w:t xml:space="preserve">Also, you must not engage in reprisal action, threaten anyone with reprisal action or have someone else conduct this action on your behalf because someone has made, or intends to make, a disclosure.  It is still an offence to conduct this action against any person you believe has made the disclosure even if they were not the individual who actually made the disclosure.  This is an offence under s. 14(1) of the PID Act.  </w:t>
      </w:r>
    </w:p>
    <w:p w14:paraId="26A591E0" w14:textId="77777777" w:rsidR="00F85498" w:rsidRDefault="00F85498" w:rsidP="00F85498">
      <w:pPr>
        <w:spacing w:after="0" w:line="240" w:lineRule="auto"/>
        <w:jc w:val="both"/>
      </w:pPr>
      <w:r>
        <w:br w:type="page"/>
      </w:r>
    </w:p>
    <w:p w14:paraId="38D9FA3E" w14:textId="77777777" w:rsidR="00F85498" w:rsidRDefault="00F85498" w:rsidP="0049310E">
      <w:pPr>
        <w:pStyle w:val="Heading2"/>
        <w:numPr>
          <w:ilvl w:val="0"/>
          <w:numId w:val="0"/>
        </w:numPr>
      </w:pPr>
      <w:bookmarkStart w:id="13" w:name="_Toc508616427"/>
      <w:r>
        <w:t>7.</w:t>
      </w:r>
      <w:r>
        <w:tab/>
        <w:t>Taking action</w:t>
      </w:r>
      <w:bookmarkEnd w:id="13"/>
    </w:p>
    <w:p w14:paraId="1D61FB63" w14:textId="77777777" w:rsidR="00F85498" w:rsidRDefault="00F85498" w:rsidP="00F85498">
      <w:pPr>
        <w:jc w:val="both"/>
      </w:pPr>
      <w:r>
        <w:t xml:space="preserve">Our PID Officer will take action where they form the opinion that a person may be, may have been or may in the future be involved in conduct which may be the subject of a public interest disclosure. Usually, our PID Officer will form this opinion at the conclusion of an investigation, although there may be instances where they need to take immediate action and the PID Act enables them to do this. </w:t>
      </w:r>
    </w:p>
    <w:p w14:paraId="52F5B6CB" w14:textId="77777777" w:rsidR="00F85498" w:rsidRDefault="00F85498" w:rsidP="00F85498">
      <w:pPr>
        <w:jc w:val="both"/>
      </w:pPr>
      <w:r>
        <w:t xml:space="preserve">Action our PID Officer may take under s. 9 includes, but is not limited to: </w:t>
      </w:r>
    </w:p>
    <w:p w14:paraId="37725B92" w14:textId="77777777" w:rsidR="00F85498" w:rsidRPr="0049310E" w:rsidRDefault="00F85498" w:rsidP="00AB6F30">
      <w:pPr>
        <w:pStyle w:val="BulletList"/>
        <w:rPr>
          <w:i w:val="0"/>
          <w:iCs w:val="0"/>
          <w:sz w:val="22"/>
          <w:szCs w:val="22"/>
        </w:rPr>
      </w:pPr>
      <w:r w:rsidRPr="0049310E">
        <w:rPr>
          <w:i w:val="0"/>
          <w:iCs w:val="0"/>
          <w:sz w:val="22"/>
          <w:szCs w:val="22"/>
        </w:rPr>
        <w:t xml:space="preserve">preventing the matter disclosed from continuing or occurring </w:t>
      </w:r>
    </w:p>
    <w:p w14:paraId="392FB101" w14:textId="77777777" w:rsidR="00F85498" w:rsidRPr="0049310E" w:rsidRDefault="00F85498" w:rsidP="00AB6F30">
      <w:pPr>
        <w:pStyle w:val="BulletList"/>
        <w:rPr>
          <w:i w:val="0"/>
          <w:iCs w:val="0"/>
          <w:sz w:val="22"/>
          <w:szCs w:val="22"/>
        </w:rPr>
      </w:pPr>
      <w:r w:rsidRPr="0049310E">
        <w:rPr>
          <w:i w:val="0"/>
          <w:iCs w:val="0"/>
          <w:sz w:val="22"/>
          <w:szCs w:val="22"/>
        </w:rPr>
        <w:t xml:space="preserve">referring the matter to the Western Australia Police or other appropriate body or </w:t>
      </w:r>
    </w:p>
    <w:p w14:paraId="75A63958" w14:textId="77777777" w:rsidR="00F85498" w:rsidRPr="0049310E" w:rsidRDefault="00F85498" w:rsidP="00AB6F30">
      <w:pPr>
        <w:pStyle w:val="BulletList"/>
        <w:rPr>
          <w:i w:val="0"/>
          <w:iCs w:val="0"/>
          <w:sz w:val="22"/>
          <w:szCs w:val="22"/>
        </w:rPr>
      </w:pPr>
      <w:r w:rsidRPr="0049310E">
        <w:rPr>
          <w:i w:val="0"/>
          <w:iCs w:val="0"/>
          <w:sz w:val="22"/>
          <w:szCs w:val="22"/>
        </w:rPr>
        <w:t>taking disciplinary action against a person responsible for the matter.</w:t>
      </w:r>
    </w:p>
    <w:p w14:paraId="04F2D7D6" w14:textId="77777777" w:rsidR="00F85498" w:rsidRDefault="00F85498" w:rsidP="00F85498">
      <w:pPr>
        <w:jc w:val="both"/>
      </w:pPr>
      <w:r>
        <w:t xml:space="preserve">The options above are not mutually exclusive. Our PID Officer may take more than one action depending on the circumstances. For example, our PID Officer may seek to terminate the employment of an employee caught stealing and refer the matter to the Western Australia Police.  </w:t>
      </w:r>
    </w:p>
    <w:p w14:paraId="734EF1C0" w14:textId="5ABF0E51" w:rsidR="00F85498" w:rsidRDefault="00F85498" w:rsidP="00F85498">
      <w:pPr>
        <w:jc w:val="both"/>
      </w:pPr>
      <w:r>
        <w:t xml:space="preserve">In taking action our PID Officer and/or </w:t>
      </w:r>
      <w:r w:rsidR="0049310E">
        <w:t>the Shire</w:t>
      </w:r>
      <w:r>
        <w:t xml:space="preserve"> is limited by the powers and functions derived from our operating legislation.  The PID Act does not provide for any additional powers to take action. We are also guided by what is necessary and reasonable in the circumstances.  </w:t>
      </w:r>
    </w:p>
    <w:p w14:paraId="369D37C1" w14:textId="77777777" w:rsidR="00F85498" w:rsidRDefault="00F85498" w:rsidP="00F85498">
      <w:pPr>
        <w:jc w:val="both"/>
      </w:pPr>
      <w:r>
        <w:t xml:space="preserve">Before taking any action we will give the person against whom the action is to be taken (the subject of the disclosure) an opportunity to respond, either verbally or in writing, to ensure procedural fairness. </w:t>
      </w:r>
    </w:p>
    <w:p w14:paraId="4352F2F0" w14:textId="77777777" w:rsidR="0049310E" w:rsidRDefault="0049310E" w:rsidP="0049310E">
      <w:pPr>
        <w:pStyle w:val="Heading3"/>
        <w:numPr>
          <w:ilvl w:val="0"/>
          <w:numId w:val="0"/>
        </w:numPr>
      </w:pPr>
    </w:p>
    <w:p w14:paraId="4870BB42" w14:textId="24BEB5D8" w:rsidR="00F85498" w:rsidRDefault="00F85498" w:rsidP="0049310E">
      <w:pPr>
        <w:pStyle w:val="Heading3"/>
        <w:numPr>
          <w:ilvl w:val="0"/>
          <w:numId w:val="0"/>
        </w:numPr>
      </w:pPr>
      <w:r>
        <w:t xml:space="preserve">Confidentiality and record keeping when taking action </w:t>
      </w:r>
    </w:p>
    <w:p w14:paraId="27CCAC25" w14:textId="77777777" w:rsidR="00F85498" w:rsidRDefault="00F85498" w:rsidP="00F85498">
      <w:pPr>
        <w:jc w:val="both"/>
      </w:pPr>
      <w:r>
        <w:t xml:space="preserve">We will maintain confidentiality in accordance with the PID Act when taking action.  </w:t>
      </w:r>
    </w:p>
    <w:p w14:paraId="71F4C0C2" w14:textId="709FDD2E" w:rsidR="00F85498" w:rsidRDefault="00F85498" w:rsidP="00F85498">
      <w:pPr>
        <w:jc w:val="both"/>
      </w:pPr>
      <w:r>
        <w:t xml:space="preserve">Our PID Officer will keep appropriate records about any action taken, as well as recording a summary of this action </w:t>
      </w:r>
      <w:r w:rsidRPr="0049310E">
        <w:t>in the public interest disclosure register.</w:t>
      </w:r>
      <w:r>
        <w:t xml:space="preserve"> </w:t>
      </w:r>
    </w:p>
    <w:p w14:paraId="3FF52898" w14:textId="77777777" w:rsidR="0049310E" w:rsidRDefault="0049310E" w:rsidP="00F85498">
      <w:pPr>
        <w:jc w:val="both"/>
      </w:pPr>
    </w:p>
    <w:p w14:paraId="5593D0F4" w14:textId="77777777" w:rsidR="00F85498" w:rsidRDefault="00F85498" w:rsidP="0049310E">
      <w:pPr>
        <w:pStyle w:val="Heading2"/>
        <w:numPr>
          <w:ilvl w:val="0"/>
          <w:numId w:val="0"/>
        </w:numPr>
      </w:pPr>
      <w:bookmarkStart w:id="14" w:name="_Toc508616428"/>
      <w:r>
        <w:t xml:space="preserve">8. </w:t>
      </w:r>
      <w:r>
        <w:tab/>
        <w:t>After the public interest disclosure process has been finalised</w:t>
      </w:r>
      <w:bookmarkEnd w:id="14"/>
    </w:p>
    <w:p w14:paraId="22C411DC" w14:textId="2519C4E9" w:rsidR="00F85498" w:rsidRDefault="00F85498" w:rsidP="00F85498">
      <w:pPr>
        <w:jc w:val="both"/>
      </w:pPr>
      <w:r>
        <w:t xml:space="preserve">The PID Act places no further obligations on </w:t>
      </w:r>
      <w:r w:rsidR="0049310E">
        <w:t>the Shire</w:t>
      </w:r>
      <w:r>
        <w:t xml:space="preserve"> or our PID Officers after the disclosure process is complete. The confidentiality requirements of the PID Act, however, continue to apply to you and all other people involved with the disclosure.</w:t>
      </w:r>
    </w:p>
    <w:p w14:paraId="56EDEA01" w14:textId="77777777" w:rsidR="00F85498" w:rsidRDefault="00F85498" w:rsidP="00F85498">
      <w:pPr>
        <w:jc w:val="both"/>
      </w:pPr>
      <w:r>
        <w:t xml:space="preserve">The PID Act does not provide for you to appeal the outcome of the disclosure process. You may be able to make another disclosure to another proper authority, if the information relates to their functions or sphere of responsibility (s. 5). See </w:t>
      </w:r>
      <w:hyperlink r:id="rId17" w:history="1">
        <w:r w:rsidRPr="00A312A3">
          <w:rPr>
            <w:rStyle w:val="Hyperlink"/>
            <w:i/>
          </w:rPr>
          <w:t>Don’t be afraid to speak up</w:t>
        </w:r>
      </w:hyperlink>
      <w:r>
        <w:t xml:space="preserve"> for the correct proper authority for your disclosure. </w:t>
      </w:r>
    </w:p>
    <w:p w14:paraId="00371457" w14:textId="77777777" w:rsidR="00F85498" w:rsidRDefault="00F85498" w:rsidP="00F85498">
      <w:pPr>
        <w:jc w:val="both"/>
      </w:pPr>
      <w:r>
        <w:t>However, this ‘new’ proper authority may be able to decline to investigate the disclosure under s. 8, if they consider the matter(s) has already been properly or adequately investigated (as a public interest disclosure).</w:t>
      </w:r>
    </w:p>
    <w:p w14:paraId="5C13F744" w14:textId="77777777" w:rsidR="00F85498" w:rsidRDefault="00F85498" w:rsidP="00F85498">
      <w:pPr>
        <w:spacing w:after="0" w:line="240" w:lineRule="auto"/>
        <w:jc w:val="both"/>
      </w:pPr>
      <w:r>
        <w:br w:type="page"/>
      </w:r>
    </w:p>
    <w:p w14:paraId="0501C53F" w14:textId="77777777" w:rsidR="00F85498" w:rsidRDefault="00F85498" w:rsidP="0049310E">
      <w:pPr>
        <w:pStyle w:val="Heading2"/>
        <w:numPr>
          <w:ilvl w:val="0"/>
          <w:numId w:val="0"/>
        </w:numPr>
      </w:pPr>
      <w:bookmarkStart w:id="15" w:name="_Toc508616429"/>
      <w:r>
        <w:t>9.</w:t>
      </w:r>
      <w:r>
        <w:tab/>
        <w:t>Making a disclosure to a journalist</w:t>
      </w:r>
      <w:bookmarkEnd w:id="15"/>
      <w:r>
        <w:t xml:space="preserve"> </w:t>
      </w:r>
    </w:p>
    <w:p w14:paraId="2FF8C613" w14:textId="42252FE7" w:rsidR="00F85498" w:rsidRDefault="00F85498" w:rsidP="00F85498">
      <w:pPr>
        <w:jc w:val="both"/>
      </w:pPr>
      <w:r>
        <w:t xml:space="preserve">The PID Act provides for certain circumstances where a discloser may be able to make a protected disclosure to a journalist s. 7A(d). These circumstances apply where the discloser has first made a disclosure to the PID Officer or another proper authority named in the PID Act (outlined in s. 5 or </w:t>
      </w:r>
      <w:hyperlink r:id="rId18" w:history="1">
        <w:r w:rsidR="0049310E" w:rsidRPr="00A312A3">
          <w:rPr>
            <w:rStyle w:val="Hyperlink"/>
            <w:i/>
          </w:rPr>
          <w:t>Don’t be afraid to speak up</w:t>
        </w:r>
      </w:hyperlink>
      <w:r>
        <w:t xml:space="preserve">). </w:t>
      </w:r>
    </w:p>
    <w:p w14:paraId="75D3859D" w14:textId="77777777" w:rsidR="00F85498" w:rsidRDefault="00F85498" w:rsidP="00F85498">
      <w:pPr>
        <w:jc w:val="both"/>
      </w:pPr>
      <w:r>
        <w:t xml:space="preserve">Importantly, the PID Act states that to attract the privileges and protections of the PID Act when disclosing to a journalist, the discloser must disclose information that is substantially the same as what was disclosed in the original disclosure and the PID Officer that received the original disclosure: </w:t>
      </w:r>
    </w:p>
    <w:p w14:paraId="4EB9D983" w14:textId="77777777" w:rsidR="00F85498" w:rsidRDefault="00F85498" w:rsidP="00F85498">
      <w:pPr>
        <w:jc w:val="both"/>
      </w:pPr>
      <w:r>
        <w:t>did not notify the discloser within three months of making the disclosure about actions they propose to take or have already taken or</w:t>
      </w:r>
    </w:p>
    <w:p w14:paraId="4ADA4BA2" w14:textId="77777777" w:rsidR="00F85498" w:rsidRPr="0049310E" w:rsidRDefault="00F85498" w:rsidP="00AB6F30">
      <w:pPr>
        <w:pStyle w:val="BulletList"/>
        <w:rPr>
          <w:i w:val="0"/>
          <w:iCs w:val="0"/>
          <w:sz w:val="22"/>
          <w:szCs w:val="22"/>
        </w:rPr>
      </w:pPr>
      <w:r w:rsidRPr="0049310E">
        <w:rPr>
          <w:i w:val="0"/>
          <w:iCs w:val="0"/>
          <w:sz w:val="22"/>
          <w:szCs w:val="22"/>
        </w:rPr>
        <w:t>refused to investigate, or discontinued the investigation of, a matter raised in the disclosure or</w:t>
      </w:r>
    </w:p>
    <w:p w14:paraId="339465E9" w14:textId="77777777" w:rsidR="00F85498" w:rsidRPr="0049310E" w:rsidRDefault="00F85498" w:rsidP="00AB6F30">
      <w:pPr>
        <w:pStyle w:val="BulletList"/>
        <w:rPr>
          <w:i w:val="0"/>
          <w:iCs w:val="0"/>
          <w:sz w:val="22"/>
          <w:szCs w:val="22"/>
        </w:rPr>
      </w:pPr>
      <w:r w:rsidRPr="0049310E">
        <w:rPr>
          <w:i w:val="0"/>
          <w:iCs w:val="0"/>
          <w:sz w:val="22"/>
          <w:szCs w:val="22"/>
        </w:rPr>
        <w:t>did not complete an investigation within six months of the discloser making the disclosure or</w:t>
      </w:r>
    </w:p>
    <w:p w14:paraId="5F16703D" w14:textId="77777777" w:rsidR="00F85498" w:rsidRPr="0049310E" w:rsidRDefault="00F85498" w:rsidP="00AB6F30">
      <w:pPr>
        <w:pStyle w:val="BulletList"/>
        <w:rPr>
          <w:i w:val="0"/>
          <w:iCs w:val="0"/>
          <w:sz w:val="22"/>
          <w:szCs w:val="22"/>
        </w:rPr>
      </w:pPr>
      <w:r w:rsidRPr="0049310E">
        <w:rPr>
          <w:i w:val="0"/>
          <w:iCs w:val="0"/>
          <w:sz w:val="22"/>
          <w:szCs w:val="22"/>
        </w:rPr>
        <w:t>completed an investigation but did not recommend that action be taken or</w:t>
      </w:r>
    </w:p>
    <w:p w14:paraId="7ADCB0C5" w14:textId="77777777" w:rsidR="00F85498" w:rsidRPr="0049310E" w:rsidRDefault="00F85498" w:rsidP="00AB6F30">
      <w:pPr>
        <w:pStyle w:val="BulletList"/>
        <w:rPr>
          <w:i w:val="0"/>
          <w:iCs w:val="0"/>
          <w:sz w:val="22"/>
          <w:szCs w:val="22"/>
        </w:rPr>
      </w:pPr>
      <w:r w:rsidRPr="0049310E">
        <w:rPr>
          <w:i w:val="0"/>
          <w:iCs w:val="0"/>
          <w:sz w:val="22"/>
          <w:szCs w:val="22"/>
        </w:rPr>
        <w:t xml:space="preserve">did not provide the discloser with a report stating the outcome of any investigation or any action proposed or taken and the reasons for those actions. </w:t>
      </w:r>
    </w:p>
    <w:p w14:paraId="7F7662E2" w14:textId="77777777" w:rsidR="00F85498" w:rsidRDefault="00F85498" w:rsidP="00F85498">
      <w:pPr>
        <w:jc w:val="both"/>
      </w:pPr>
      <w:r>
        <w:t>We are committed to ensuring that we provide the notifications required under the PID Act and that the discloser understands the reasons for our decisions and actions. If a discloser is considering making a disclosure to a journalist because they believe their circumstances meet one or more of the requirements outlined above, we would encourage the discloser to discuss this with the PID Officer prior to disclosure to a journalist.</w:t>
      </w:r>
    </w:p>
    <w:p w14:paraId="7BBC78E6" w14:textId="77777777" w:rsidR="00F85498" w:rsidRDefault="00F85498" w:rsidP="00F85498">
      <w:pPr>
        <w:jc w:val="both"/>
      </w:pPr>
      <w:r>
        <w:t xml:space="preserve">It is also recommended that the discloser seek their own legal advice before taking any action in relation to matters that have been disclosed under the PID Act.  </w:t>
      </w:r>
    </w:p>
    <w:p w14:paraId="0877190D" w14:textId="31E2B37F" w:rsidR="00F85498" w:rsidRDefault="00F85498" w:rsidP="00F85498">
      <w:pPr>
        <w:jc w:val="both"/>
      </w:pPr>
      <w:r>
        <w:t>If a discloser makes an anonymous disclosure they may not be able to demonstrate they meet the above requirements and we are not obliged to provide the discloser with any notifications about what happens to the disclosure.</w:t>
      </w:r>
    </w:p>
    <w:p w14:paraId="610CDF9C" w14:textId="77777777" w:rsidR="0049310E" w:rsidRPr="0089791D" w:rsidRDefault="0049310E" w:rsidP="0089791D">
      <w:pPr>
        <w:pStyle w:val="Heading2"/>
        <w:numPr>
          <w:ilvl w:val="0"/>
          <w:numId w:val="0"/>
        </w:numPr>
        <w:ind w:left="720"/>
      </w:pPr>
    </w:p>
    <w:p w14:paraId="6802E7A4" w14:textId="0AFB1F82" w:rsidR="005204C7" w:rsidRPr="0089791D" w:rsidRDefault="0089791D" w:rsidP="0089791D">
      <w:pPr>
        <w:pStyle w:val="Heading2"/>
        <w:numPr>
          <w:ilvl w:val="0"/>
          <w:numId w:val="0"/>
        </w:numPr>
      </w:pPr>
      <w:r w:rsidRPr="0089791D">
        <w:rPr>
          <w:rStyle w:val="fontstyle01"/>
          <w:rFonts w:ascii="Arial" w:hAnsi="Arial"/>
          <w:b/>
          <w:bCs w:val="0"/>
          <w:color w:val="auto"/>
          <w:sz w:val="28"/>
          <w:szCs w:val="28"/>
        </w:rPr>
        <w:t>10. Contact details and further information</w:t>
      </w:r>
    </w:p>
    <w:p w14:paraId="1473EFC0" w14:textId="77777777" w:rsidR="00984AE8" w:rsidRDefault="0089791D" w:rsidP="0089791D">
      <w:pPr>
        <w:pStyle w:val="BodyText"/>
        <w:spacing w:line="249" w:lineRule="auto"/>
        <w:ind w:right="239"/>
        <w:jc w:val="both"/>
      </w:pPr>
      <w:r>
        <w:t>The Public Interest Disclosure (PID</w:t>
      </w:r>
      <w:r w:rsidR="00984AE8">
        <w:t>)</w:t>
      </w:r>
      <w:r>
        <w:t xml:space="preserve"> Officer</w:t>
      </w:r>
      <w:r w:rsidR="00984AE8">
        <w:t>s</w:t>
      </w:r>
      <w:r>
        <w:t xml:space="preserve"> of the Shire of Augusta Margaret River is the</w:t>
      </w:r>
      <w:r w:rsidR="00984AE8">
        <w:t>:</w:t>
      </w:r>
      <w:r>
        <w:t xml:space="preserve"> </w:t>
      </w:r>
    </w:p>
    <w:p w14:paraId="04CA66FD" w14:textId="77777777" w:rsidR="00984AE8" w:rsidRDefault="00984AE8" w:rsidP="0089791D">
      <w:pPr>
        <w:pStyle w:val="BodyText"/>
        <w:spacing w:line="249" w:lineRule="auto"/>
        <w:ind w:right="239"/>
        <w:jc w:val="both"/>
      </w:pPr>
    </w:p>
    <w:p w14:paraId="75C02840" w14:textId="45253E7E" w:rsidR="0089791D" w:rsidRDefault="00381303" w:rsidP="00984AE8">
      <w:pPr>
        <w:pStyle w:val="BodyText"/>
        <w:numPr>
          <w:ilvl w:val="0"/>
          <w:numId w:val="22"/>
        </w:numPr>
        <w:spacing w:line="249" w:lineRule="auto"/>
        <w:ind w:right="239"/>
        <w:jc w:val="both"/>
      </w:pPr>
      <w:r>
        <w:t xml:space="preserve">Principle PID Officer: </w:t>
      </w:r>
      <w:r w:rsidR="0089791D">
        <w:t xml:space="preserve">Manager Corporate Performance, Mel Aylett, PO Box 61, Margaret River, WA 6285, </w:t>
      </w:r>
      <w:hyperlink r:id="rId19" w:history="1">
        <w:r w:rsidR="0089791D" w:rsidRPr="003B5E50">
          <w:rPr>
            <w:rStyle w:val="Hyperlink"/>
          </w:rPr>
          <w:t>maylett@amrshire.wa.gov.au,</w:t>
        </w:r>
      </w:hyperlink>
      <w:r w:rsidR="0089791D">
        <w:t xml:space="preserve"> 9</w:t>
      </w:r>
      <w:r w:rsidR="00984AE8">
        <w:t>7</w:t>
      </w:r>
      <w:r w:rsidR="0089791D">
        <w:t>80 5279.</w:t>
      </w:r>
    </w:p>
    <w:p w14:paraId="14A22831" w14:textId="024EF8CC" w:rsidR="00984AE8" w:rsidRDefault="00381303" w:rsidP="00984AE8">
      <w:pPr>
        <w:pStyle w:val="ListParagraph"/>
        <w:numPr>
          <w:ilvl w:val="0"/>
          <w:numId w:val="22"/>
        </w:numPr>
        <w:jc w:val="both"/>
      </w:pPr>
      <w:r>
        <w:t xml:space="preserve">PID officer: </w:t>
      </w:r>
      <w:r w:rsidR="00984AE8">
        <w:t xml:space="preserve">Manager Legal and Governance, Ian McLeod, P Box 61, Margaret River, WA 6285, </w:t>
      </w:r>
      <w:hyperlink r:id="rId20" w:history="1">
        <w:r w:rsidR="00984AE8" w:rsidRPr="00137952">
          <w:rPr>
            <w:rStyle w:val="Hyperlink"/>
          </w:rPr>
          <w:t>imcleod@amrshire.wa.gov.au</w:t>
        </w:r>
      </w:hyperlink>
      <w:r w:rsidR="00984AE8">
        <w:t xml:space="preserve">, 9780 5257, </w:t>
      </w:r>
      <w:r w:rsidR="00984AE8" w:rsidRPr="00984AE8">
        <w:rPr>
          <w:rFonts w:cs="Arial"/>
        </w:rPr>
        <w:t>0422 337 393</w:t>
      </w:r>
    </w:p>
    <w:p w14:paraId="40133327" w14:textId="2EA4C7DF" w:rsidR="006A408A" w:rsidRDefault="006A408A" w:rsidP="00F85498">
      <w:pPr>
        <w:pStyle w:val="Heading1"/>
        <w:jc w:val="both"/>
      </w:pPr>
      <w:r>
        <w:t>Application</w:t>
      </w:r>
    </w:p>
    <w:p w14:paraId="175331DC" w14:textId="77777777" w:rsidR="006A408A" w:rsidRDefault="006A408A" w:rsidP="006A408A">
      <w:pPr>
        <w:pStyle w:val="BodyText"/>
        <w:spacing w:before="280"/>
      </w:pPr>
      <w:r>
        <w:t>This</w:t>
      </w:r>
      <w:r>
        <w:rPr>
          <w:spacing w:val="-16"/>
        </w:rPr>
        <w:t xml:space="preserve"> </w:t>
      </w:r>
      <w:r>
        <w:t>procedure</w:t>
      </w:r>
      <w:r>
        <w:rPr>
          <w:spacing w:val="-13"/>
        </w:rPr>
        <w:t xml:space="preserve"> </w:t>
      </w:r>
      <w:r>
        <w:t>applies</w:t>
      </w:r>
      <w:r>
        <w:rPr>
          <w:spacing w:val="-16"/>
        </w:rPr>
        <w:t xml:space="preserve"> </w:t>
      </w:r>
      <w:r>
        <w:rPr>
          <w:spacing w:val="-5"/>
        </w:rPr>
        <w:t>to:</w:t>
      </w:r>
    </w:p>
    <w:p w14:paraId="6DAC8C53" w14:textId="77777777" w:rsidR="006A408A" w:rsidRDefault="006A408A" w:rsidP="006A408A">
      <w:pPr>
        <w:pStyle w:val="BodyText"/>
        <w:spacing w:before="7"/>
        <w:rPr>
          <w:sz w:val="23"/>
        </w:rPr>
      </w:pPr>
    </w:p>
    <w:p w14:paraId="0F905054" w14:textId="77777777" w:rsidR="006A408A" w:rsidRDefault="006A408A" w:rsidP="006A408A">
      <w:pPr>
        <w:pStyle w:val="ListParagraph"/>
        <w:widowControl w:val="0"/>
        <w:numPr>
          <w:ilvl w:val="0"/>
          <w:numId w:val="26"/>
        </w:numPr>
        <w:tabs>
          <w:tab w:val="left" w:pos="962"/>
          <w:tab w:val="left" w:pos="963"/>
        </w:tabs>
        <w:autoSpaceDE w:val="0"/>
        <w:autoSpaceDN w:val="0"/>
        <w:spacing w:before="1" w:after="0" w:line="240" w:lineRule="auto"/>
        <w:contextualSpacing w:val="0"/>
      </w:pPr>
      <w:r>
        <w:t>All</w:t>
      </w:r>
      <w:r>
        <w:rPr>
          <w:spacing w:val="-9"/>
        </w:rPr>
        <w:t xml:space="preserve"> </w:t>
      </w:r>
      <w:r>
        <w:t>staff</w:t>
      </w:r>
      <w:r>
        <w:rPr>
          <w:spacing w:val="-8"/>
        </w:rPr>
        <w:t xml:space="preserve"> </w:t>
      </w:r>
      <w:r>
        <w:t>and</w:t>
      </w:r>
      <w:r>
        <w:rPr>
          <w:spacing w:val="-11"/>
        </w:rPr>
        <w:t xml:space="preserve"> </w:t>
      </w:r>
      <w:r>
        <w:t>contractors</w:t>
      </w:r>
      <w:r>
        <w:rPr>
          <w:spacing w:val="-11"/>
        </w:rPr>
        <w:t xml:space="preserve"> </w:t>
      </w:r>
      <w:r>
        <w:t>of</w:t>
      </w:r>
      <w:r>
        <w:rPr>
          <w:spacing w:val="-9"/>
        </w:rPr>
        <w:t xml:space="preserve"> </w:t>
      </w:r>
      <w:r>
        <w:t>the</w:t>
      </w:r>
      <w:r>
        <w:rPr>
          <w:spacing w:val="-9"/>
        </w:rPr>
        <w:t xml:space="preserve"> </w:t>
      </w:r>
      <w:r>
        <w:t>Shire</w:t>
      </w:r>
      <w:r>
        <w:rPr>
          <w:spacing w:val="-9"/>
        </w:rPr>
        <w:t xml:space="preserve"> </w:t>
      </w:r>
      <w:r>
        <w:t>of</w:t>
      </w:r>
      <w:r>
        <w:rPr>
          <w:spacing w:val="-8"/>
        </w:rPr>
        <w:t xml:space="preserve"> </w:t>
      </w:r>
      <w:r>
        <w:t>Augusta</w:t>
      </w:r>
      <w:r>
        <w:rPr>
          <w:spacing w:val="-12"/>
        </w:rPr>
        <w:t xml:space="preserve"> </w:t>
      </w:r>
      <w:r>
        <w:t>Margaret</w:t>
      </w:r>
      <w:r>
        <w:rPr>
          <w:spacing w:val="-10"/>
        </w:rPr>
        <w:t xml:space="preserve"> </w:t>
      </w:r>
      <w:r>
        <w:rPr>
          <w:spacing w:val="-2"/>
        </w:rPr>
        <w:t>River</w:t>
      </w:r>
    </w:p>
    <w:p w14:paraId="2E6669E1" w14:textId="77777777" w:rsidR="006A408A" w:rsidRDefault="006A408A" w:rsidP="006A408A">
      <w:pPr>
        <w:pStyle w:val="ListParagraph"/>
        <w:widowControl w:val="0"/>
        <w:numPr>
          <w:ilvl w:val="0"/>
          <w:numId w:val="26"/>
        </w:numPr>
        <w:tabs>
          <w:tab w:val="left" w:pos="962"/>
          <w:tab w:val="left" w:pos="963"/>
        </w:tabs>
        <w:autoSpaceDE w:val="0"/>
        <w:autoSpaceDN w:val="0"/>
        <w:spacing w:before="34" w:after="0" w:line="240" w:lineRule="auto"/>
        <w:contextualSpacing w:val="0"/>
      </w:pPr>
      <w:r>
        <w:t>Records</w:t>
      </w:r>
      <w:r>
        <w:rPr>
          <w:spacing w:val="-11"/>
        </w:rPr>
        <w:t xml:space="preserve"> </w:t>
      </w:r>
      <w:r>
        <w:t>Officers</w:t>
      </w:r>
      <w:r>
        <w:rPr>
          <w:spacing w:val="-13"/>
        </w:rPr>
        <w:t xml:space="preserve"> </w:t>
      </w:r>
      <w:r>
        <w:t>in</w:t>
      </w:r>
      <w:r>
        <w:rPr>
          <w:spacing w:val="-15"/>
        </w:rPr>
        <w:t xml:space="preserve"> </w:t>
      </w:r>
      <w:r>
        <w:t>relation</w:t>
      </w:r>
      <w:r>
        <w:rPr>
          <w:spacing w:val="-12"/>
        </w:rPr>
        <w:t xml:space="preserve"> </w:t>
      </w:r>
      <w:r>
        <w:t>to</w:t>
      </w:r>
      <w:r>
        <w:rPr>
          <w:spacing w:val="-15"/>
        </w:rPr>
        <w:t xml:space="preserve"> </w:t>
      </w:r>
      <w:r>
        <w:t>recordkeeping</w:t>
      </w:r>
      <w:r>
        <w:rPr>
          <w:spacing w:val="-11"/>
        </w:rPr>
        <w:t xml:space="preserve"> </w:t>
      </w:r>
      <w:r>
        <w:rPr>
          <w:spacing w:val="-2"/>
        </w:rPr>
        <w:t>activities</w:t>
      </w:r>
    </w:p>
    <w:p w14:paraId="29F89B88" w14:textId="39CF6283" w:rsidR="006A408A" w:rsidRPr="00984AE8" w:rsidRDefault="006A408A" w:rsidP="006A408A">
      <w:pPr>
        <w:pStyle w:val="ListParagraph"/>
        <w:widowControl w:val="0"/>
        <w:numPr>
          <w:ilvl w:val="0"/>
          <w:numId w:val="26"/>
        </w:numPr>
        <w:tabs>
          <w:tab w:val="left" w:pos="962"/>
          <w:tab w:val="left" w:pos="963"/>
        </w:tabs>
        <w:autoSpaceDE w:val="0"/>
        <w:autoSpaceDN w:val="0"/>
        <w:spacing w:before="42" w:after="0" w:line="240" w:lineRule="auto"/>
        <w:contextualSpacing w:val="0"/>
      </w:pPr>
      <w:r>
        <w:rPr>
          <w:spacing w:val="-2"/>
        </w:rPr>
        <w:t>Manager</w:t>
      </w:r>
      <w:r>
        <w:rPr>
          <w:spacing w:val="-1"/>
        </w:rPr>
        <w:t xml:space="preserve"> </w:t>
      </w:r>
      <w:r>
        <w:rPr>
          <w:spacing w:val="-2"/>
        </w:rPr>
        <w:t>Corporate</w:t>
      </w:r>
      <w:r>
        <w:rPr>
          <w:spacing w:val="-3"/>
        </w:rPr>
        <w:t xml:space="preserve"> </w:t>
      </w:r>
      <w:r>
        <w:rPr>
          <w:spacing w:val="-2"/>
        </w:rPr>
        <w:t>Performance</w:t>
      </w:r>
    </w:p>
    <w:p w14:paraId="6403107B" w14:textId="504E714B" w:rsidR="00984AE8" w:rsidRDefault="00984AE8" w:rsidP="006A408A">
      <w:pPr>
        <w:pStyle w:val="ListParagraph"/>
        <w:widowControl w:val="0"/>
        <w:numPr>
          <w:ilvl w:val="0"/>
          <w:numId w:val="26"/>
        </w:numPr>
        <w:tabs>
          <w:tab w:val="left" w:pos="962"/>
          <w:tab w:val="left" w:pos="963"/>
        </w:tabs>
        <w:autoSpaceDE w:val="0"/>
        <w:autoSpaceDN w:val="0"/>
        <w:spacing w:before="42" w:after="0" w:line="240" w:lineRule="auto"/>
        <w:contextualSpacing w:val="0"/>
      </w:pPr>
      <w:r>
        <w:rPr>
          <w:spacing w:val="-2"/>
        </w:rPr>
        <w:t>Manager Legal and Governance</w:t>
      </w:r>
    </w:p>
    <w:p w14:paraId="29B52901" w14:textId="77777777" w:rsidR="006A408A" w:rsidRDefault="006A408A" w:rsidP="00F85498">
      <w:pPr>
        <w:pStyle w:val="Heading1"/>
        <w:jc w:val="both"/>
      </w:pPr>
    </w:p>
    <w:p w14:paraId="2C456E3A" w14:textId="42148EC0" w:rsidR="00E839D5" w:rsidRDefault="00E839D5" w:rsidP="00F85498">
      <w:pPr>
        <w:pStyle w:val="Heading1"/>
        <w:jc w:val="both"/>
      </w:pPr>
      <w:r>
        <w:t>Relevant legislation</w:t>
      </w:r>
    </w:p>
    <w:p w14:paraId="318874CA" w14:textId="3BF698DA" w:rsidR="0049310E" w:rsidRDefault="0049310E" w:rsidP="0049310E">
      <w:pPr>
        <w:jc w:val="both"/>
        <w:rPr>
          <w:bCs/>
          <w:i/>
          <w:iCs/>
        </w:rPr>
      </w:pPr>
      <w:r>
        <w:rPr>
          <w:bCs/>
          <w:i/>
          <w:iCs/>
        </w:rPr>
        <w:t>Public Interest Disclosure Act 2003</w:t>
      </w:r>
    </w:p>
    <w:p w14:paraId="50009604" w14:textId="2798F1FE" w:rsidR="0049310E" w:rsidRPr="0049310E" w:rsidRDefault="0049310E" w:rsidP="0049310E">
      <w:pPr>
        <w:jc w:val="both"/>
        <w:rPr>
          <w:bCs/>
          <w:i/>
          <w:iCs/>
        </w:rPr>
      </w:pPr>
      <w:r w:rsidRPr="0049310E">
        <w:rPr>
          <w:bCs/>
          <w:i/>
          <w:iCs/>
        </w:rPr>
        <w:t>All references to sections (that is, ‘s’ and ‘ss.’) in these procedures relate to the PID Act, unless stated otherwise.</w:t>
      </w:r>
    </w:p>
    <w:p w14:paraId="21B7B204" w14:textId="7833EAC1" w:rsidR="00FA1EEC" w:rsidRDefault="00FA1EEC" w:rsidP="00F85498">
      <w:pPr>
        <w:jc w:val="both"/>
      </w:pPr>
    </w:p>
    <w:p w14:paraId="2CAABD7C" w14:textId="0B4ACC9E" w:rsidR="00FA1EEC" w:rsidRDefault="00FA1EEC" w:rsidP="00F85498">
      <w:pPr>
        <w:pStyle w:val="Heading1"/>
        <w:jc w:val="both"/>
      </w:pPr>
      <w:r>
        <w:t>Related documents</w:t>
      </w:r>
    </w:p>
    <w:p w14:paraId="54044847" w14:textId="0FCEE6EB" w:rsidR="005204C7" w:rsidRDefault="00AB6F30" w:rsidP="00F85498">
      <w:pPr>
        <w:jc w:val="both"/>
        <w:rPr>
          <w:i/>
          <w:iCs/>
        </w:rPr>
      </w:pPr>
      <w:bookmarkStart w:id="16" w:name="_Hlk75430759"/>
      <w:r>
        <w:rPr>
          <w:i/>
          <w:iCs/>
        </w:rPr>
        <w:t>Public Interest Disclosure Lodgement Form</w:t>
      </w:r>
    </w:p>
    <w:p w14:paraId="0F7D6D3C" w14:textId="4794EFD8" w:rsidR="0049310E" w:rsidRDefault="0049310E" w:rsidP="00F85498">
      <w:pPr>
        <w:jc w:val="both"/>
        <w:rPr>
          <w:i/>
          <w:iCs/>
        </w:rPr>
      </w:pPr>
      <w:r>
        <w:rPr>
          <w:i/>
          <w:iCs/>
        </w:rPr>
        <w:t>Public Interest Disclosure Consent to Disclose Identity Form</w:t>
      </w:r>
    </w:p>
    <w:p w14:paraId="37C219C5" w14:textId="659E9DC2" w:rsidR="008871FF" w:rsidRDefault="008871FF" w:rsidP="00F85498">
      <w:pPr>
        <w:jc w:val="both"/>
        <w:rPr>
          <w:i/>
          <w:iCs/>
        </w:rPr>
      </w:pPr>
      <w:r>
        <w:rPr>
          <w:i/>
          <w:iCs/>
        </w:rPr>
        <w:t>Internal Investigations Procedure</w:t>
      </w:r>
    </w:p>
    <w:p w14:paraId="38B4B888" w14:textId="1C57C961" w:rsidR="0049310E" w:rsidRPr="0069619B" w:rsidRDefault="0049310E" w:rsidP="00F85498">
      <w:pPr>
        <w:jc w:val="both"/>
        <w:rPr>
          <w:i/>
          <w:iCs/>
        </w:rPr>
      </w:pPr>
      <w:r>
        <w:rPr>
          <w:i/>
          <w:iCs/>
        </w:rPr>
        <w:t>Public Interest Disclosure Notification of Identifying Information</w:t>
      </w:r>
    </w:p>
    <w:bookmarkEnd w:id="16"/>
    <w:p w14:paraId="1D6FED91" w14:textId="71ADD49C" w:rsidR="00863121" w:rsidRDefault="00863121" w:rsidP="00F85498">
      <w:pPr>
        <w:jc w:val="both"/>
      </w:pPr>
    </w:p>
    <w:p w14:paraId="34C25DAF" w14:textId="13108A67" w:rsidR="00E839D5" w:rsidRDefault="00E839D5" w:rsidP="00F85498">
      <w:pPr>
        <w:jc w:val="both"/>
      </w:pPr>
    </w:p>
    <w:tbl>
      <w:tblPr>
        <w:tblStyle w:val="AugMR1"/>
        <w:tblW w:w="4953" w:type="pct"/>
        <w:tblLayout w:type="fixed"/>
        <w:tblLook w:val="04E0" w:firstRow="1" w:lastRow="1" w:firstColumn="1" w:lastColumn="0" w:noHBand="0" w:noVBand="1"/>
      </w:tblPr>
      <w:tblGrid>
        <w:gridCol w:w="1164"/>
        <w:gridCol w:w="1134"/>
        <w:gridCol w:w="244"/>
        <w:gridCol w:w="984"/>
        <w:gridCol w:w="9"/>
        <w:gridCol w:w="1985"/>
        <w:gridCol w:w="659"/>
        <w:gridCol w:w="475"/>
        <w:gridCol w:w="2435"/>
        <w:gridCol w:w="9"/>
      </w:tblGrid>
      <w:tr w:rsidR="00865161" w:rsidRPr="00865161" w14:paraId="23DDE526" w14:textId="77777777" w:rsidTr="007A2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0"/>
            <w:shd w:val="clear" w:color="auto" w:fill="4C8448"/>
          </w:tcPr>
          <w:p w14:paraId="464017CD" w14:textId="69C8FD47" w:rsidR="00865161" w:rsidRPr="00865161" w:rsidRDefault="00865161" w:rsidP="00F85498">
            <w:pPr>
              <w:tabs>
                <w:tab w:val="left" w:pos="5715"/>
              </w:tabs>
              <w:spacing w:line="240" w:lineRule="auto"/>
              <w:jc w:val="both"/>
              <w:rPr>
                <w:rFonts w:eastAsia="Calibri" w:cs="Times New Roman"/>
              </w:rPr>
            </w:pPr>
            <w:r w:rsidRPr="00865161">
              <w:rPr>
                <w:rFonts w:eastAsia="Calibri" w:cs="Times New Roman"/>
              </w:rPr>
              <w:t>Document and version control table</w:t>
            </w:r>
            <w:r w:rsidR="007B2A80">
              <w:rPr>
                <w:rFonts w:eastAsia="Calibri" w:cs="Times New Roman"/>
              </w:rPr>
              <w:tab/>
            </w:r>
          </w:p>
        </w:tc>
      </w:tr>
      <w:tr w:rsidR="00865161" w:rsidRPr="00865161" w14:paraId="237CDC85" w14:textId="77777777" w:rsidTr="007A2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3" w:type="pct"/>
            <w:gridSpan w:val="5"/>
            <w:shd w:val="clear" w:color="auto" w:fill="E2EFD9" w:themeFill="accent6" w:themeFillTint="33"/>
          </w:tcPr>
          <w:p w14:paraId="328289CB" w14:textId="77777777" w:rsidR="00865161" w:rsidRPr="00865161" w:rsidRDefault="00865161" w:rsidP="00F85498">
            <w:pPr>
              <w:spacing w:line="240" w:lineRule="auto"/>
              <w:jc w:val="both"/>
              <w:rPr>
                <w:b/>
              </w:rPr>
            </w:pPr>
            <w:r w:rsidRPr="00865161">
              <w:rPr>
                <w:b/>
              </w:rPr>
              <w:t>Responsible Directorate</w:t>
            </w:r>
          </w:p>
        </w:tc>
        <w:tc>
          <w:tcPr>
            <w:tcW w:w="3057" w:type="pct"/>
            <w:gridSpan w:val="5"/>
          </w:tcPr>
          <w:p w14:paraId="54ED0244" w14:textId="052B3377" w:rsidR="00865161" w:rsidRPr="00865161" w:rsidRDefault="006D7936" w:rsidP="00F85498">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Governance</w:t>
            </w:r>
          </w:p>
        </w:tc>
      </w:tr>
      <w:tr w:rsidR="00865161" w:rsidRPr="00865161" w14:paraId="231EEB34" w14:textId="77777777" w:rsidTr="007A2D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3" w:type="pct"/>
            <w:gridSpan w:val="5"/>
            <w:shd w:val="clear" w:color="auto" w:fill="E2EFD9" w:themeFill="accent6" w:themeFillTint="33"/>
          </w:tcPr>
          <w:p w14:paraId="0824B0CA" w14:textId="044BF20E" w:rsidR="00865161" w:rsidRPr="00865161" w:rsidRDefault="008D68B8" w:rsidP="00F85498">
            <w:pPr>
              <w:spacing w:line="240" w:lineRule="auto"/>
              <w:jc w:val="both"/>
              <w:rPr>
                <w:b/>
              </w:rPr>
            </w:pPr>
            <w:r>
              <w:rPr>
                <w:b/>
              </w:rPr>
              <w:t>Contact officer</w:t>
            </w:r>
          </w:p>
        </w:tc>
        <w:tc>
          <w:tcPr>
            <w:tcW w:w="3057" w:type="pct"/>
            <w:gridSpan w:val="5"/>
          </w:tcPr>
          <w:p w14:paraId="029EDA07" w14:textId="43C1FFA6" w:rsidR="00865161" w:rsidRPr="00865161" w:rsidRDefault="006D7936" w:rsidP="00F85498">
            <w:pPr>
              <w:spacing w:line="240" w:lineRule="auto"/>
              <w:jc w:val="both"/>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Governance Officer</w:t>
            </w:r>
          </w:p>
        </w:tc>
      </w:tr>
      <w:tr w:rsidR="00802A50" w:rsidRPr="00865161" w14:paraId="404CD39E" w14:textId="77777777" w:rsidTr="007A2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3" w:type="pct"/>
            <w:gridSpan w:val="5"/>
            <w:shd w:val="clear" w:color="auto" w:fill="E2EFD9" w:themeFill="accent6" w:themeFillTint="33"/>
          </w:tcPr>
          <w:p w14:paraId="7431E742" w14:textId="22275C43" w:rsidR="00802A50" w:rsidRPr="00865161" w:rsidRDefault="00BF1754" w:rsidP="00F85498">
            <w:pPr>
              <w:spacing w:line="240" w:lineRule="auto"/>
              <w:jc w:val="both"/>
              <w:rPr>
                <w:b/>
              </w:rPr>
            </w:pPr>
            <w:r>
              <w:rPr>
                <w:rFonts w:eastAsia="Calibri" w:cs="Times New Roman"/>
                <w:b/>
              </w:rPr>
              <w:t>Adopted / approved by:</w:t>
            </w:r>
          </w:p>
        </w:tc>
        <w:tc>
          <w:tcPr>
            <w:tcW w:w="3057" w:type="pct"/>
            <w:gridSpan w:val="5"/>
          </w:tcPr>
          <w:p w14:paraId="3981B6C1" w14:textId="4B3231C3" w:rsidR="00802A50" w:rsidRPr="00865161" w:rsidRDefault="00EE36E7" w:rsidP="00F85498">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Manager Legal and Governance</w:t>
            </w:r>
          </w:p>
        </w:tc>
      </w:tr>
      <w:tr w:rsidR="00BF1754" w:rsidRPr="00865161" w14:paraId="0A63A8D2" w14:textId="77777777" w:rsidTr="007A2D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3" w:type="pct"/>
            <w:gridSpan w:val="5"/>
            <w:shd w:val="clear" w:color="auto" w:fill="E2EFD9" w:themeFill="accent6" w:themeFillTint="33"/>
          </w:tcPr>
          <w:p w14:paraId="27262C84" w14:textId="0666298A" w:rsidR="00BF1754" w:rsidRPr="00865161" w:rsidRDefault="00BF1754" w:rsidP="00F85498">
            <w:pPr>
              <w:spacing w:line="240" w:lineRule="auto"/>
              <w:jc w:val="both"/>
              <w:rPr>
                <w:b/>
              </w:rPr>
            </w:pPr>
            <w:r>
              <w:rPr>
                <w:b/>
              </w:rPr>
              <w:t>Date of adoption / approval:</w:t>
            </w:r>
          </w:p>
        </w:tc>
        <w:tc>
          <w:tcPr>
            <w:tcW w:w="1453" w:type="pct"/>
            <w:gridSpan w:val="2"/>
          </w:tcPr>
          <w:p w14:paraId="6266DC3A" w14:textId="6B947D74" w:rsidR="00BF1754" w:rsidRDefault="00EE36E7" w:rsidP="00F85498">
            <w:pPr>
              <w:spacing w:line="240" w:lineRule="auto"/>
              <w:jc w:val="both"/>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July 2022</w:t>
            </w:r>
          </w:p>
        </w:tc>
        <w:tc>
          <w:tcPr>
            <w:tcW w:w="1604" w:type="pct"/>
            <w:gridSpan w:val="3"/>
          </w:tcPr>
          <w:p w14:paraId="7E8689DC" w14:textId="5E8D6351" w:rsidR="00BF1754" w:rsidRDefault="00BF1754" w:rsidP="00F85498">
            <w:pPr>
              <w:spacing w:line="240" w:lineRule="auto"/>
              <w:jc w:val="both"/>
              <w:cnfStyle w:val="000000010000" w:firstRow="0" w:lastRow="0" w:firstColumn="0" w:lastColumn="0" w:oddVBand="0" w:evenVBand="0" w:oddHBand="0" w:evenHBand="1" w:firstRowFirstColumn="0" w:firstRowLastColumn="0" w:lastRowFirstColumn="0" w:lastRowLastColumn="0"/>
              <w:rPr>
                <w:color w:val="000000" w:themeColor="text1"/>
              </w:rPr>
            </w:pPr>
            <w:r w:rsidRPr="00BF1754">
              <w:rPr>
                <w:b/>
                <w:bCs/>
                <w:color w:val="000000" w:themeColor="text1"/>
              </w:rPr>
              <w:t>Decision Ref:</w:t>
            </w:r>
            <w:r>
              <w:rPr>
                <w:color w:val="000000" w:themeColor="text1"/>
              </w:rPr>
              <w:t xml:space="preserve"> </w:t>
            </w:r>
            <w:r w:rsidR="006E0028">
              <w:rPr>
                <w:color w:val="000000" w:themeColor="text1"/>
              </w:rPr>
              <w:t>n/a</w:t>
            </w:r>
          </w:p>
        </w:tc>
      </w:tr>
      <w:tr w:rsidR="00802A50" w:rsidRPr="00865161" w14:paraId="7AA3E966" w14:textId="77777777" w:rsidTr="007A2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3" w:type="pct"/>
            <w:gridSpan w:val="5"/>
            <w:shd w:val="clear" w:color="auto" w:fill="E2EFD9" w:themeFill="accent6" w:themeFillTint="33"/>
          </w:tcPr>
          <w:p w14:paraId="425A2E76" w14:textId="77777777" w:rsidR="00802A50" w:rsidRPr="00865161" w:rsidRDefault="00802A50" w:rsidP="00F85498">
            <w:pPr>
              <w:spacing w:line="240" w:lineRule="auto"/>
              <w:jc w:val="both"/>
              <w:rPr>
                <w:b/>
              </w:rPr>
            </w:pPr>
            <w:r w:rsidRPr="00865161">
              <w:rPr>
                <w:b/>
              </w:rPr>
              <w:t>Date of next review</w:t>
            </w:r>
          </w:p>
        </w:tc>
        <w:tc>
          <w:tcPr>
            <w:tcW w:w="3057" w:type="pct"/>
            <w:gridSpan w:val="5"/>
          </w:tcPr>
          <w:p w14:paraId="18B5344B" w14:textId="6CDA6129" w:rsidR="00802A50" w:rsidRPr="00865161" w:rsidRDefault="006D7936" w:rsidP="00F85498">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2026</w:t>
            </w:r>
          </w:p>
        </w:tc>
      </w:tr>
      <w:tr w:rsidR="00802A50" w:rsidRPr="00865161" w14:paraId="491CECBF" w14:textId="77777777" w:rsidTr="007A2D19">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97" w:type="pct"/>
            <w:gridSpan w:val="3"/>
            <w:shd w:val="clear" w:color="auto" w:fill="E2EFD9" w:themeFill="accent6" w:themeFillTint="33"/>
          </w:tcPr>
          <w:p w14:paraId="7D3DEB2E" w14:textId="77777777" w:rsidR="00802A50" w:rsidRPr="00865161" w:rsidRDefault="00802A50" w:rsidP="00F85498">
            <w:pPr>
              <w:spacing w:line="240" w:lineRule="auto"/>
              <w:jc w:val="both"/>
              <w:rPr>
                <w:b/>
              </w:rPr>
            </w:pPr>
            <w:r w:rsidRPr="00865161">
              <w:rPr>
                <w:b/>
              </w:rPr>
              <w:t>Document No.</w:t>
            </w:r>
          </w:p>
        </w:tc>
        <w:tc>
          <w:tcPr>
            <w:tcW w:w="1637" w:type="pct"/>
            <w:gridSpan w:val="3"/>
          </w:tcPr>
          <w:p w14:paraId="4B74511A" w14:textId="1DD9F01C" w:rsidR="00802A50" w:rsidRPr="00865161" w:rsidRDefault="006E0028" w:rsidP="00F85498">
            <w:pPr>
              <w:spacing w:line="240" w:lineRule="auto"/>
              <w:jc w:val="both"/>
              <w:cnfStyle w:val="000000010000" w:firstRow="0" w:lastRow="0" w:firstColumn="0" w:lastColumn="0" w:oddVBand="0" w:evenVBand="0" w:oddHBand="0" w:evenHBand="1" w:firstRowFirstColumn="0" w:firstRowLastColumn="0" w:lastRowFirstColumn="0" w:lastRowLastColumn="0"/>
              <w:rPr>
                <w:b/>
              </w:rPr>
            </w:pPr>
            <w:r>
              <w:rPr>
                <w:color w:val="000000" w:themeColor="text1"/>
              </w:rPr>
              <w:t>O286470</w:t>
            </w:r>
          </w:p>
        </w:tc>
        <w:tc>
          <w:tcPr>
            <w:tcW w:w="623" w:type="pct"/>
            <w:gridSpan w:val="2"/>
          </w:tcPr>
          <w:p w14:paraId="485822FE" w14:textId="77777777" w:rsidR="00802A50" w:rsidRPr="00865161" w:rsidRDefault="00802A50" w:rsidP="00F85498">
            <w:pPr>
              <w:spacing w:line="240" w:lineRule="auto"/>
              <w:jc w:val="both"/>
              <w:cnfStyle w:val="000000010000" w:firstRow="0" w:lastRow="0" w:firstColumn="0" w:lastColumn="0" w:oddVBand="0" w:evenVBand="0" w:oddHBand="0" w:evenHBand="1" w:firstRowFirstColumn="0" w:firstRowLastColumn="0" w:lastRowFirstColumn="0" w:lastRowLastColumn="0"/>
              <w:rPr>
                <w:b/>
                <w:color w:val="000000" w:themeColor="text1"/>
              </w:rPr>
            </w:pPr>
            <w:r w:rsidRPr="00865161">
              <w:rPr>
                <w:b/>
                <w:color w:val="000000" w:themeColor="text1"/>
              </w:rPr>
              <w:t>File No.</w:t>
            </w:r>
          </w:p>
        </w:tc>
        <w:tc>
          <w:tcPr>
            <w:tcW w:w="1344" w:type="pct"/>
            <w:gridSpan w:val="2"/>
          </w:tcPr>
          <w:p w14:paraId="78434E3A" w14:textId="775597C5" w:rsidR="00802A50" w:rsidRPr="00865161" w:rsidRDefault="00BF1754" w:rsidP="00F85498">
            <w:pPr>
              <w:spacing w:line="240" w:lineRule="auto"/>
              <w:jc w:val="both"/>
              <w:cnfStyle w:val="000000010000" w:firstRow="0" w:lastRow="0" w:firstColumn="0" w:lastColumn="0" w:oddVBand="0" w:evenVBand="0" w:oddHBand="0" w:evenHBand="1" w:firstRowFirstColumn="0" w:firstRowLastColumn="0" w:lastRowFirstColumn="0" w:lastRowLastColumn="0"/>
              <w:rPr>
                <w:b/>
                <w:bCs/>
                <w:color w:val="000000" w:themeColor="text1"/>
              </w:rPr>
            </w:pPr>
            <w:r>
              <w:rPr>
                <w:b/>
                <w:bCs/>
                <w:color w:val="000000" w:themeColor="text1"/>
              </w:rPr>
              <w:t>COR/</w:t>
            </w:r>
            <w:r w:rsidR="006A408A">
              <w:rPr>
                <w:b/>
                <w:bCs/>
                <w:color w:val="000000" w:themeColor="text1"/>
              </w:rPr>
              <w:t>32</w:t>
            </w:r>
          </w:p>
        </w:tc>
      </w:tr>
      <w:tr w:rsidR="00BF1754" w:rsidRPr="00865161" w14:paraId="7396E87F" w14:textId="77777777" w:rsidTr="007A2D19">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640" w:type="pct"/>
            <w:shd w:val="clear" w:color="auto" w:fill="4C8448"/>
          </w:tcPr>
          <w:p w14:paraId="75B347F4" w14:textId="77777777" w:rsidR="00BF1754" w:rsidRPr="00865161" w:rsidRDefault="00BF1754" w:rsidP="00F85498">
            <w:pPr>
              <w:spacing w:line="240" w:lineRule="auto"/>
              <w:jc w:val="both"/>
              <w:rPr>
                <w:rFonts w:eastAsia="Calibri" w:cs="Times New Roman"/>
                <w:b/>
                <w:noProof/>
                <w:color w:val="FFFFFF"/>
              </w:rPr>
            </w:pPr>
            <w:r w:rsidRPr="00865161">
              <w:rPr>
                <w:rFonts w:eastAsia="Calibri" w:cs="Times New Roman"/>
                <w:b/>
                <w:noProof/>
                <w:color w:val="FFFFFF"/>
              </w:rPr>
              <w:t>Version</w:t>
            </w:r>
          </w:p>
        </w:tc>
        <w:tc>
          <w:tcPr>
            <w:tcW w:w="623" w:type="pct"/>
            <w:shd w:val="clear" w:color="auto" w:fill="4C8448"/>
          </w:tcPr>
          <w:p w14:paraId="38795736" w14:textId="77777777" w:rsidR="00BF1754" w:rsidRPr="00865161" w:rsidRDefault="00BF1754" w:rsidP="00F85498">
            <w:pPr>
              <w:spacing w:line="240" w:lineRule="auto"/>
              <w:jc w:val="both"/>
              <w:cnfStyle w:val="000000100000" w:firstRow="0" w:lastRow="0" w:firstColumn="0" w:lastColumn="0" w:oddVBand="0" w:evenVBand="0" w:oddHBand="1" w:evenHBand="0" w:firstRowFirstColumn="0" w:firstRowLastColumn="0" w:lastRowFirstColumn="0" w:lastRowLastColumn="0"/>
              <w:rPr>
                <w:rFonts w:eastAsia="Calibri" w:cs="Times New Roman"/>
                <w:b/>
                <w:noProof/>
                <w:color w:val="FFFFFF"/>
              </w:rPr>
            </w:pPr>
            <w:r w:rsidRPr="00865161">
              <w:rPr>
                <w:rFonts w:eastAsia="Calibri" w:cs="Times New Roman"/>
                <w:b/>
                <w:noProof/>
                <w:color w:val="FFFFFF"/>
              </w:rPr>
              <w:t>Date issued</w:t>
            </w:r>
          </w:p>
        </w:tc>
        <w:tc>
          <w:tcPr>
            <w:tcW w:w="675" w:type="pct"/>
            <w:gridSpan w:val="2"/>
            <w:shd w:val="clear" w:color="auto" w:fill="4C8448"/>
          </w:tcPr>
          <w:p w14:paraId="79DC6368" w14:textId="6B2CD8B3" w:rsidR="00BF1754" w:rsidRPr="00865161" w:rsidRDefault="00BF1754" w:rsidP="00F85498">
            <w:pPr>
              <w:spacing w:line="240" w:lineRule="auto"/>
              <w:jc w:val="both"/>
              <w:cnfStyle w:val="000000100000" w:firstRow="0" w:lastRow="0" w:firstColumn="0" w:lastColumn="0" w:oddVBand="0" w:evenVBand="0" w:oddHBand="1" w:evenHBand="0" w:firstRowFirstColumn="0" w:firstRowLastColumn="0" w:lastRowFirstColumn="0" w:lastRowLastColumn="0"/>
              <w:rPr>
                <w:rFonts w:eastAsia="Calibri" w:cs="Times New Roman"/>
                <w:b/>
                <w:noProof/>
                <w:color w:val="FFFFFF"/>
              </w:rPr>
            </w:pPr>
            <w:r>
              <w:rPr>
                <w:rFonts w:eastAsia="Calibri" w:cs="Times New Roman"/>
                <w:b/>
                <w:noProof/>
                <w:color w:val="FFFFFF"/>
              </w:rPr>
              <w:t>Decision Ref.</w:t>
            </w:r>
          </w:p>
        </w:tc>
        <w:tc>
          <w:tcPr>
            <w:tcW w:w="3057" w:type="pct"/>
            <w:gridSpan w:val="5"/>
            <w:shd w:val="clear" w:color="auto" w:fill="4C8448"/>
          </w:tcPr>
          <w:p w14:paraId="16DE9215" w14:textId="77777777" w:rsidR="00BF1754" w:rsidRPr="00865161" w:rsidRDefault="00BF1754" w:rsidP="00F85498">
            <w:pPr>
              <w:spacing w:line="240" w:lineRule="auto"/>
              <w:jc w:val="both"/>
              <w:cnfStyle w:val="000000100000" w:firstRow="0" w:lastRow="0" w:firstColumn="0" w:lastColumn="0" w:oddVBand="0" w:evenVBand="0" w:oddHBand="1" w:evenHBand="0" w:firstRowFirstColumn="0" w:firstRowLastColumn="0" w:lastRowFirstColumn="0" w:lastRowLastColumn="0"/>
              <w:rPr>
                <w:b/>
                <w:noProof/>
                <w:color w:val="FFFFFF" w:themeColor="background1"/>
              </w:rPr>
            </w:pPr>
            <w:r w:rsidRPr="00865161">
              <w:rPr>
                <w:b/>
                <w:noProof/>
                <w:color w:val="FFFFFF" w:themeColor="background1"/>
              </w:rPr>
              <w:t>Brief description</w:t>
            </w:r>
          </w:p>
        </w:tc>
      </w:tr>
      <w:tr w:rsidR="00BF1754" w:rsidRPr="00865161" w14:paraId="37D2C46F" w14:textId="77777777" w:rsidTr="007A2D19">
        <w:trPr>
          <w:gridAfter w:val="1"/>
          <w:cnfStyle w:val="000000010000" w:firstRow="0" w:lastRow="0" w:firstColumn="0" w:lastColumn="0" w:oddVBand="0" w:evenVBand="0" w:oddHBand="0" w:evenHBand="1"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640" w:type="pct"/>
            <w:shd w:val="clear" w:color="auto" w:fill="E2EFD9" w:themeFill="accent6" w:themeFillTint="33"/>
          </w:tcPr>
          <w:p w14:paraId="7F624B2A" w14:textId="77777777" w:rsidR="00BF1754" w:rsidRPr="00865161" w:rsidRDefault="00BF1754" w:rsidP="00F85498">
            <w:pPr>
              <w:spacing w:line="240" w:lineRule="auto"/>
              <w:jc w:val="both"/>
              <w:rPr>
                <w:color w:val="000000" w:themeColor="text1"/>
              </w:rPr>
            </w:pPr>
            <w:r w:rsidRPr="00865161">
              <w:rPr>
                <w:color w:val="000000" w:themeColor="text1"/>
              </w:rPr>
              <w:t>1.0</w:t>
            </w:r>
          </w:p>
        </w:tc>
        <w:tc>
          <w:tcPr>
            <w:tcW w:w="623" w:type="pct"/>
            <w:shd w:val="clear" w:color="auto" w:fill="E2EFD9" w:themeFill="accent6" w:themeFillTint="33"/>
          </w:tcPr>
          <w:p w14:paraId="5CA6E564" w14:textId="6C7BDCEC" w:rsidR="00BF1754" w:rsidRPr="00865161" w:rsidRDefault="006D7936" w:rsidP="00F85498">
            <w:pPr>
              <w:spacing w:line="240" w:lineRule="auto"/>
              <w:jc w:val="both"/>
              <w:cnfStyle w:val="000000010000" w:firstRow="0" w:lastRow="0" w:firstColumn="0" w:lastColumn="0" w:oddVBand="0" w:evenVBand="0" w:oddHBand="0" w:evenHBand="1" w:firstRowFirstColumn="0" w:firstRowLastColumn="0" w:lastRowFirstColumn="0" w:lastRowLastColumn="0"/>
              <w:rPr>
                <w:color w:val="000000" w:themeColor="text1"/>
                <w:highlight w:val="yellow"/>
              </w:rPr>
            </w:pPr>
            <w:r>
              <w:rPr>
                <w:color w:val="000000" w:themeColor="text1"/>
              </w:rPr>
              <w:t>2015</w:t>
            </w:r>
          </w:p>
        </w:tc>
        <w:tc>
          <w:tcPr>
            <w:tcW w:w="675" w:type="pct"/>
            <w:gridSpan w:val="2"/>
            <w:shd w:val="clear" w:color="auto" w:fill="E2EFD9" w:themeFill="accent6" w:themeFillTint="33"/>
          </w:tcPr>
          <w:p w14:paraId="78EA9459" w14:textId="00BEF6FB" w:rsidR="00BF1754" w:rsidRPr="00865161" w:rsidRDefault="006D7936" w:rsidP="00F85498">
            <w:pPr>
              <w:spacing w:line="240" w:lineRule="auto"/>
              <w:jc w:val="both"/>
              <w:cnfStyle w:val="000000010000" w:firstRow="0" w:lastRow="0" w:firstColumn="0" w:lastColumn="0" w:oddVBand="0" w:evenVBand="0" w:oddHBand="0" w:evenHBand="1" w:firstRowFirstColumn="0" w:firstRowLastColumn="0" w:lastRowFirstColumn="0" w:lastRowLastColumn="0"/>
              <w:rPr>
                <w:color w:val="000000" w:themeColor="text1"/>
                <w:highlight w:val="yellow"/>
              </w:rPr>
            </w:pPr>
            <w:r w:rsidRPr="006D7936">
              <w:rPr>
                <w:color w:val="000000" w:themeColor="text1"/>
              </w:rPr>
              <w:t>n/a</w:t>
            </w:r>
          </w:p>
        </w:tc>
        <w:tc>
          <w:tcPr>
            <w:tcW w:w="3057" w:type="pct"/>
            <w:gridSpan w:val="5"/>
            <w:shd w:val="clear" w:color="auto" w:fill="auto"/>
          </w:tcPr>
          <w:p w14:paraId="5A4A118B" w14:textId="77777777" w:rsidR="00BF1754" w:rsidRPr="00865161" w:rsidRDefault="00BF1754" w:rsidP="00F85498">
            <w:pPr>
              <w:spacing w:line="240" w:lineRule="auto"/>
              <w:jc w:val="both"/>
              <w:cnfStyle w:val="000000010000" w:firstRow="0" w:lastRow="0" w:firstColumn="0" w:lastColumn="0" w:oddVBand="0" w:evenVBand="0" w:oddHBand="0" w:evenHBand="1" w:firstRowFirstColumn="0" w:firstRowLastColumn="0" w:lastRowFirstColumn="0" w:lastRowLastColumn="0"/>
              <w:rPr>
                <w:color w:val="000000" w:themeColor="text1"/>
              </w:rPr>
            </w:pPr>
            <w:r w:rsidRPr="00865161">
              <w:rPr>
                <w:color w:val="000000" w:themeColor="text1"/>
              </w:rPr>
              <w:t>Initial Issue</w:t>
            </w:r>
          </w:p>
          <w:p w14:paraId="668FDB09" w14:textId="77777777" w:rsidR="00BF1754" w:rsidRPr="00865161" w:rsidRDefault="00BF1754" w:rsidP="00F85498">
            <w:pPr>
              <w:spacing w:line="240" w:lineRule="auto"/>
              <w:jc w:val="both"/>
              <w:cnfStyle w:val="000000010000" w:firstRow="0" w:lastRow="0" w:firstColumn="0" w:lastColumn="0" w:oddVBand="0" w:evenVBand="0" w:oddHBand="0" w:evenHBand="1" w:firstRowFirstColumn="0" w:firstRowLastColumn="0" w:lastRowFirstColumn="0" w:lastRowLastColumn="0"/>
              <w:rPr>
                <w:color w:val="000000" w:themeColor="text1"/>
                <w:highlight w:val="yellow"/>
              </w:rPr>
            </w:pPr>
          </w:p>
        </w:tc>
      </w:tr>
      <w:tr w:rsidR="00BF1754" w:rsidRPr="00865161" w14:paraId="3E782012" w14:textId="77777777" w:rsidTr="007A2D19">
        <w:trPr>
          <w:gridAfter w:val="1"/>
          <w:cnfStyle w:val="010000000000" w:firstRow="0" w:lastRow="1" w:firstColumn="0" w:lastColumn="0" w:oddVBand="0" w:evenVBand="0" w:oddHBand="0"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640" w:type="pct"/>
            <w:tcBorders>
              <w:top w:val="single" w:sz="4" w:space="0" w:color="000000"/>
              <w:bottom w:val="single" w:sz="4" w:space="0" w:color="auto"/>
            </w:tcBorders>
            <w:shd w:val="clear" w:color="auto" w:fill="E2EFD9" w:themeFill="accent6" w:themeFillTint="33"/>
          </w:tcPr>
          <w:p w14:paraId="2BC699D6" w14:textId="451944D7" w:rsidR="00BF1754" w:rsidRPr="00865161" w:rsidRDefault="006D7936" w:rsidP="00F85498">
            <w:pPr>
              <w:spacing w:line="240" w:lineRule="auto"/>
              <w:jc w:val="both"/>
              <w:rPr>
                <w:color w:val="000000" w:themeColor="text1"/>
              </w:rPr>
            </w:pPr>
            <w:r>
              <w:rPr>
                <w:color w:val="000000" w:themeColor="text1"/>
              </w:rPr>
              <w:t>2</w:t>
            </w:r>
            <w:r w:rsidR="00BF1754" w:rsidRPr="00865161">
              <w:rPr>
                <w:color w:val="000000" w:themeColor="text1"/>
              </w:rPr>
              <w:t>.1</w:t>
            </w:r>
          </w:p>
        </w:tc>
        <w:tc>
          <w:tcPr>
            <w:tcW w:w="623" w:type="pct"/>
            <w:tcBorders>
              <w:top w:val="single" w:sz="4" w:space="0" w:color="000000"/>
              <w:bottom w:val="single" w:sz="4" w:space="0" w:color="auto"/>
            </w:tcBorders>
            <w:shd w:val="clear" w:color="auto" w:fill="E2EFD9" w:themeFill="accent6" w:themeFillTint="33"/>
          </w:tcPr>
          <w:p w14:paraId="74087701" w14:textId="2CC42276" w:rsidR="00BF1754" w:rsidRPr="00865161" w:rsidRDefault="006D7936" w:rsidP="00F85498">
            <w:pPr>
              <w:spacing w:line="240" w:lineRule="auto"/>
              <w:jc w:val="both"/>
              <w:cnfStyle w:val="010000000000" w:firstRow="0" w:lastRow="1" w:firstColumn="0" w:lastColumn="0" w:oddVBand="0" w:evenVBand="0" w:oddHBand="0" w:evenHBand="0" w:firstRowFirstColumn="0" w:firstRowLastColumn="0" w:lastRowFirstColumn="0" w:lastRowLastColumn="0"/>
              <w:rPr>
                <w:color w:val="000000" w:themeColor="text1"/>
              </w:rPr>
            </w:pPr>
            <w:r>
              <w:rPr>
                <w:color w:val="000000" w:themeColor="text1"/>
              </w:rPr>
              <w:t>June 2022</w:t>
            </w:r>
          </w:p>
        </w:tc>
        <w:tc>
          <w:tcPr>
            <w:tcW w:w="675" w:type="pct"/>
            <w:gridSpan w:val="2"/>
            <w:tcBorders>
              <w:top w:val="single" w:sz="4" w:space="0" w:color="000000"/>
              <w:bottom w:val="single" w:sz="4" w:space="0" w:color="auto"/>
            </w:tcBorders>
            <w:shd w:val="clear" w:color="auto" w:fill="E2EFD9" w:themeFill="accent6" w:themeFillTint="33"/>
          </w:tcPr>
          <w:p w14:paraId="7D087377" w14:textId="63982E9F" w:rsidR="00BF1754" w:rsidRPr="00865161" w:rsidRDefault="00BF1754" w:rsidP="00F85498">
            <w:pPr>
              <w:spacing w:line="240" w:lineRule="auto"/>
              <w:jc w:val="both"/>
              <w:cnfStyle w:val="010000000000" w:firstRow="0" w:lastRow="1" w:firstColumn="0" w:lastColumn="0" w:oddVBand="0" w:evenVBand="0" w:oddHBand="0" w:evenHBand="0" w:firstRowFirstColumn="0" w:firstRowLastColumn="0" w:lastRowFirstColumn="0" w:lastRowLastColumn="0"/>
              <w:rPr>
                <w:color w:val="000000" w:themeColor="text1"/>
              </w:rPr>
            </w:pPr>
            <w:r w:rsidRPr="00865161">
              <w:rPr>
                <w:color w:val="000000" w:themeColor="text1"/>
              </w:rPr>
              <w:t>[TBD]</w:t>
            </w:r>
          </w:p>
        </w:tc>
        <w:tc>
          <w:tcPr>
            <w:tcW w:w="3057" w:type="pct"/>
            <w:gridSpan w:val="5"/>
            <w:tcBorders>
              <w:top w:val="single" w:sz="4" w:space="0" w:color="000000"/>
              <w:bottom w:val="single" w:sz="4" w:space="0" w:color="auto"/>
            </w:tcBorders>
            <w:shd w:val="clear" w:color="auto" w:fill="auto"/>
          </w:tcPr>
          <w:p w14:paraId="48429C6F" w14:textId="74992F6B" w:rsidR="00BF1754" w:rsidRPr="00865161" w:rsidRDefault="006D7936" w:rsidP="00F85498">
            <w:pPr>
              <w:spacing w:line="240" w:lineRule="auto"/>
              <w:jc w:val="both"/>
              <w:cnfStyle w:val="010000000000" w:firstRow="0" w:lastRow="1" w:firstColumn="0" w:lastColumn="0" w:oddVBand="0" w:evenVBand="0" w:oddHBand="0" w:evenHBand="0" w:firstRowFirstColumn="0" w:firstRowLastColumn="0" w:lastRowFirstColumn="0" w:lastRowLastColumn="0"/>
              <w:rPr>
                <w:color w:val="000000" w:themeColor="text1"/>
              </w:rPr>
            </w:pPr>
            <w:r>
              <w:rPr>
                <w:color w:val="000000" w:themeColor="text1"/>
              </w:rPr>
              <w:t xml:space="preserve">Full review.  In line with PSC PID Procedure Template </w:t>
            </w:r>
          </w:p>
        </w:tc>
      </w:tr>
    </w:tbl>
    <w:p w14:paraId="7C9A5659" w14:textId="503A5B30" w:rsidR="00E839D5" w:rsidRDefault="00E839D5" w:rsidP="00F85498">
      <w:pPr>
        <w:jc w:val="both"/>
      </w:pPr>
    </w:p>
    <w:p w14:paraId="69C91F85" w14:textId="77777777" w:rsidR="00E839D5" w:rsidRPr="000B4043" w:rsidRDefault="00E839D5" w:rsidP="00F85498">
      <w:pPr>
        <w:jc w:val="both"/>
      </w:pPr>
    </w:p>
    <w:p w14:paraId="756492D4" w14:textId="77777777" w:rsidR="00575384" w:rsidRDefault="00575384" w:rsidP="00F85498">
      <w:pPr>
        <w:jc w:val="both"/>
      </w:pPr>
    </w:p>
    <w:sectPr w:rsidR="00575384" w:rsidSect="00575384">
      <w:headerReference w:type="even" r:id="rId21"/>
      <w:headerReference w:type="default" r:id="rId22"/>
      <w:footerReference w:type="even" r:id="rId23"/>
      <w:footerReference w:type="default" r:id="rId24"/>
      <w:headerReference w:type="first" r:id="rId25"/>
      <w:footerReference w:type="first" r:id="rId26"/>
      <w:pgSz w:w="11906" w:h="16838"/>
      <w:pgMar w:top="964" w:right="1361" w:bottom="1361" w:left="1361" w:header="28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F8FB3" w14:textId="77777777" w:rsidR="00097068" w:rsidRDefault="00097068" w:rsidP="00C30A19">
      <w:pPr>
        <w:spacing w:after="0" w:line="240" w:lineRule="auto"/>
      </w:pPr>
      <w:r>
        <w:separator/>
      </w:r>
    </w:p>
  </w:endnote>
  <w:endnote w:type="continuationSeparator" w:id="0">
    <w:p w14:paraId="003D6556" w14:textId="77777777" w:rsidR="00097068" w:rsidRDefault="00097068" w:rsidP="00C3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NeueLTPro-Bd">
    <w:altName w:val="Arial"/>
    <w:panose1 w:val="00000000000000000000"/>
    <w:charset w:val="00"/>
    <w:family w:val="roman"/>
    <w:notTrueType/>
    <w:pitch w:val="default"/>
  </w:font>
  <w:font w:name="HelveticaNeueLTPro-Lt">
    <w:altName w:val="Arial"/>
    <w:panose1 w:val="00000000000000000000"/>
    <w:charset w:val="00"/>
    <w:family w:val="roman"/>
    <w:notTrueType/>
    <w:pitch w:val="default"/>
  </w:font>
  <w:font w:name="HelveticaNeueLTCom-LtI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E0FC" w14:textId="77777777" w:rsidR="008871FF" w:rsidRDefault="00887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F515" w14:textId="71B3BFCB" w:rsidR="00AE0200" w:rsidRPr="00AE0200" w:rsidRDefault="00C82F1C" w:rsidP="000A5F2D">
    <w:pPr>
      <w:pStyle w:val="Footer"/>
    </w:pPr>
    <w:r w:rsidRPr="000A5F2D">
      <w:rPr>
        <w:rFonts w:eastAsia="Calibri" w:cs="Times New Roman"/>
        <w:noProof/>
        <w:lang w:eastAsia="en-AU"/>
      </w:rPr>
      <mc:AlternateContent>
        <mc:Choice Requires="wps">
          <w:drawing>
            <wp:anchor distT="0" distB="0" distL="114300" distR="114300" simplePos="0" relativeHeight="251657728" behindDoc="0" locked="0" layoutInCell="1" allowOverlap="1" wp14:anchorId="02C047B7" wp14:editId="258BD66E">
              <wp:simplePos x="0" y="0"/>
              <wp:positionH relativeFrom="page">
                <wp:posOffset>-6350</wp:posOffset>
              </wp:positionH>
              <wp:positionV relativeFrom="page">
                <wp:posOffset>10151745</wp:posOffset>
              </wp:positionV>
              <wp:extent cx="7578000" cy="540000"/>
              <wp:effectExtent l="0" t="0" r="4445" b="0"/>
              <wp:wrapNone/>
              <wp:docPr id="20" name="Rectangle 20"/>
              <wp:cNvGraphicFramePr/>
              <a:graphic xmlns:a="http://schemas.openxmlformats.org/drawingml/2006/main">
                <a:graphicData uri="http://schemas.microsoft.com/office/word/2010/wordprocessingShape">
                  <wps:wsp>
                    <wps:cNvSpPr/>
                    <wps:spPr>
                      <a:xfrm>
                        <a:off x="0" y="0"/>
                        <a:ext cx="7578000" cy="540000"/>
                      </a:xfrm>
                      <a:prstGeom prst="rect">
                        <a:avLst/>
                      </a:prstGeom>
                      <a:solidFill>
                        <a:srgbClr val="046A38"/>
                      </a:solidFill>
                      <a:ln w="12700" cap="flat" cmpd="sng" algn="ctr">
                        <a:noFill/>
                        <a:prstDash val="solid"/>
                        <a:miter lim="800000"/>
                      </a:ln>
                      <a:effectLst/>
                    </wps:spPr>
                    <wps:txbx>
                      <w:txbxContent>
                        <w:p w14:paraId="40C033DB" w14:textId="77777777" w:rsidR="00C82F1C" w:rsidRPr="006959BE" w:rsidRDefault="00C82F1C" w:rsidP="00D8757A">
                          <w:pPr>
                            <w:widowControl w:val="0"/>
                            <w:spacing w:after="0" w:line="240" w:lineRule="auto"/>
                            <w:jc w:val="center"/>
                            <w:rPr>
                              <w:rFonts w:eastAsia="Arial" w:cs="Arial"/>
                              <w:color w:val="FFFFFF" w:themeColor="background1"/>
                              <w:sz w:val="16"/>
                              <w:szCs w:val="16"/>
                              <w:lang w:val="en-US"/>
                            </w:rPr>
                          </w:pPr>
                          <w:r w:rsidRPr="006959BE">
                            <w:rPr>
                              <w:rFonts w:eastAsia="Calibri" w:hAnsi="Calibri" w:cs="Times New Roman"/>
                              <w:b/>
                              <w:color w:val="FFFFFF"/>
                              <w:sz w:val="16"/>
                              <w:lang w:val="en-US"/>
                            </w:rPr>
                            <w:t>Shire</w:t>
                          </w:r>
                          <w:r w:rsidRPr="006959BE">
                            <w:rPr>
                              <w:rFonts w:eastAsia="Calibri" w:hAnsi="Calibri" w:cs="Times New Roman"/>
                              <w:b/>
                              <w:color w:val="FFFFFF"/>
                              <w:spacing w:val="-1"/>
                              <w:sz w:val="16"/>
                              <w:lang w:val="en-US"/>
                            </w:rPr>
                            <w:t xml:space="preserve"> </w:t>
                          </w:r>
                          <w:r w:rsidRPr="006959BE">
                            <w:rPr>
                              <w:rFonts w:eastAsia="Calibri" w:hAnsi="Calibri" w:cs="Times New Roman"/>
                              <w:b/>
                              <w:color w:val="FFFFFF"/>
                              <w:sz w:val="16"/>
                              <w:lang w:val="en-US"/>
                            </w:rPr>
                            <w:t>of</w:t>
                          </w:r>
                          <w:r w:rsidRPr="006959BE">
                            <w:rPr>
                              <w:rFonts w:eastAsia="Calibri" w:hAnsi="Calibri" w:cs="Times New Roman"/>
                              <w:b/>
                              <w:color w:val="FFFFFF"/>
                              <w:spacing w:val="-7"/>
                              <w:sz w:val="16"/>
                              <w:lang w:val="en-US"/>
                            </w:rPr>
                            <w:t xml:space="preserve"> </w:t>
                          </w:r>
                          <w:r w:rsidRPr="006959BE">
                            <w:rPr>
                              <w:rFonts w:eastAsia="Calibri" w:hAnsi="Calibri" w:cs="Times New Roman"/>
                              <w:b/>
                              <w:color w:val="FFFFFF"/>
                              <w:spacing w:val="-1"/>
                              <w:sz w:val="16"/>
                              <w:lang w:val="en-US"/>
                            </w:rPr>
                            <w:t xml:space="preserve">Augusta </w:t>
                          </w:r>
                          <w:r w:rsidRPr="006959BE">
                            <w:rPr>
                              <w:rFonts w:eastAsia="Calibri" w:hAnsi="Calibri" w:cs="Times New Roman"/>
                              <w:b/>
                              <w:color w:val="FFFFFF"/>
                              <w:sz w:val="16"/>
                              <w:lang w:val="en-US"/>
                            </w:rPr>
                            <w:t>Margaret</w:t>
                          </w:r>
                          <w:r w:rsidRPr="006959BE">
                            <w:rPr>
                              <w:rFonts w:eastAsia="Calibri" w:hAnsi="Calibri" w:cs="Times New Roman"/>
                              <w:b/>
                              <w:color w:val="FFFFFF"/>
                              <w:spacing w:val="-2"/>
                              <w:sz w:val="16"/>
                              <w:lang w:val="en-US"/>
                            </w:rPr>
                            <w:t xml:space="preserve"> </w:t>
                          </w:r>
                          <w:r w:rsidRPr="006959BE">
                            <w:rPr>
                              <w:rFonts w:eastAsia="Calibri" w:hAnsi="Calibri" w:cs="Times New Roman"/>
                              <w:b/>
                              <w:color w:val="FFFFFF"/>
                              <w:spacing w:val="-1"/>
                              <w:sz w:val="16"/>
                              <w:lang w:val="en-US"/>
                            </w:rPr>
                            <w:t>River</w:t>
                          </w:r>
                          <w:r w:rsidRPr="006959BE">
                            <w:rPr>
                              <w:rFonts w:eastAsia="Calibri" w:hAnsi="Calibri" w:cs="Times New Roman"/>
                              <w:b/>
                              <w:color w:val="FFFFFF"/>
                              <w:sz w:val="16"/>
                              <w:lang w:val="en-US"/>
                            </w:rPr>
                            <w:t xml:space="preserve"> </w:t>
                          </w:r>
                          <w:r w:rsidRPr="006959BE">
                            <w:rPr>
                              <w:rFonts w:eastAsia="Calibri" w:hAnsi="Calibri" w:cs="Times New Roman"/>
                              <w:color w:val="FFFFFF"/>
                              <w:spacing w:val="-1"/>
                              <w:sz w:val="16"/>
                              <w:lang w:val="en-US"/>
                            </w:rPr>
                            <w:t xml:space="preserve">41 </w:t>
                          </w:r>
                          <w:r w:rsidRPr="006959BE">
                            <w:rPr>
                              <w:rFonts w:eastAsia="Calibri" w:hAnsi="Calibri" w:cs="Times New Roman"/>
                              <w:color w:val="FFFFFF"/>
                              <w:spacing w:val="-2"/>
                              <w:sz w:val="16"/>
                              <w:lang w:val="en-US"/>
                            </w:rPr>
                            <w:t>Wallcliffe</w:t>
                          </w:r>
                          <w:r w:rsidRPr="006959BE">
                            <w:rPr>
                              <w:rFonts w:eastAsia="Calibri" w:hAnsi="Calibri" w:cs="Times New Roman"/>
                              <w:color w:val="FFFFFF"/>
                              <w:spacing w:val="-1"/>
                              <w:sz w:val="16"/>
                              <w:lang w:val="en-US"/>
                            </w:rPr>
                            <w:t xml:space="preserve"> Road, </w:t>
                          </w:r>
                          <w:r w:rsidRPr="006959BE">
                            <w:rPr>
                              <w:rFonts w:eastAsia="Calibri" w:hAnsi="Calibri" w:cs="Times New Roman"/>
                              <w:color w:val="FFFFFF"/>
                              <w:sz w:val="16"/>
                              <w:lang w:val="en-US"/>
                            </w:rPr>
                            <w:t>Margaret</w:t>
                          </w:r>
                          <w:r w:rsidRPr="006959BE">
                            <w:rPr>
                              <w:rFonts w:eastAsia="Calibri" w:hAnsi="Calibri" w:cs="Times New Roman"/>
                              <w:color w:val="FFFFFF"/>
                              <w:spacing w:val="-1"/>
                              <w:sz w:val="16"/>
                              <w:lang w:val="en-US"/>
                            </w:rPr>
                            <w:t xml:space="preserve"> River 6285</w:t>
                          </w:r>
                          <w:r w:rsidRPr="006959BE">
                            <w:rPr>
                              <w:rFonts w:eastAsia="Calibri" w:hAnsi="Calibri" w:cs="Times New Roman"/>
                              <w:color w:val="FFFFFF"/>
                              <w:sz w:val="16"/>
                              <w:lang w:val="en-US"/>
                            </w:rPr>
                            <w:t xml:space="preserve"> |</w:t>
                          </w:r>
                          <w:r w:rsidRPr="006959BE">
                            <w:rPr>
                              <w:rFonts w:eastAsia="Calibri" w:hAnsi="Calibri" w:cs="Times New Roman"/>
                              <w:color w:val="FFFFFF"/>
                              <w:spacing w:val="-4"/>
                              <w:sz w:val="16"/>
                              <w:lang w:val="en-US"/>
                            </w:rPr>
                            <w:t xml:space="preserve"> </w:t>
                          </w:r>
                          <w:r w:rsidRPr="006959BE">
                            <w:rPr>
                              <w:rFonts w:eastAsia="Calibri" w:hAnsi="Calibri" w:cs="Times New Roman"/>
                              <w:color w:val="FFFFFF"/>
                              <w:sz w:val="16"/>
                              <w:lang w:val="en-US"/>
                            </w:rPr>
                            <w:t>T</w:t>
                          </w:r>
                          <w:r w:rsidRPr="006959BE">
                            <w:rPr>
                              <w:rFonts w:eastAsia="Calibri" w:hAnsi="Calibri" w:cs="Times New Roman"/>
                              <w:color w:val="FFFFFF"/>
                              <w:spacing w:val="-3"/>
                              <w:sz w:val="16"/>
                              <w:lang w:val="en-US"/>
                            </w:rPr>
                            <w:t xml:space="preserve"> </w:t>
                          </w:r>
                          <w:r w:rsidRPr="006959BE">
                            <w:rPr>
                              <w:rFonts w:eastAsia="Calibri" w:hAnsi="Calibri" w:cs="Times New Roman"/>
                              <w:color w:val="FFFFFF"/>
                              <w:sz w:val="16"/>
                              <w:lang w:val="en-US"/>
                            </w:rPr>
                            <w:t>(08)</w:t>
                          </w:r>
                          <w:r w:rsidRPr="006959BE">
                            <w:rPr>
                              <w:rFonts w:eastAsia="Calibri" w:hAnsi="Calibri" w:cs="Times New Roman"/>
                              <w:color w:val="FFFFFF"/>
                              <w:spacing w:val="-2"/>
                              <w:sz w:val="16"/>
                              <w:lang w:val="en-US"/>
                            </w:rPr>
                            <w:t xml:space="preserve"> </w:t>
                          </w:r>
                          <w:r w:rsidRPr="006959BE">
                            <w:rPr>
                              <w:rFonts w:eastAsia="Calibri" w:hAnsi="Calibri" w:cs="Times New Roman"/>
                              <w:color w:val="FFFFFF"/>
                              <w:spacing w:val="-1"/>
                              <w:sz w:val="16"/>
                              <w:lang w:val="en-US"/>
                            </w:rPr>
                            <w:t>9780</w:t>
                          </w:r>
                          <w:r w:rsidRPr="006959BE">
                            <w:rPr>
                              <w:rFonts w:eastAsia="Calibri" w:hAnsi="Calibri" w:cs="Times New Roman"/>
                              <w:color w:val="FFFFFF"/>
                              <w:sz w:val="16"/>
                              <w:lang w:val="en-US"/>
                            </w:rPr>
                            <w:t xml:space="preserve"> </w:t>
                          </w:r>
                          <w:r w:rsidRPr="006959BE">
                            <w:rPr>
                              <w:rFonts w:eastAsia="Calibri" w:hAnsi="Calibri" w:cs="Times New Roman"/>
                              <w:color w:val="FFFFFF"/>
                              <w:spacing w:val="-1"/>
                              <w:sz w:val="16"/>
                              <w:lang w:val="en-US"/>
                            </w:rPr>
                            <w:t xml:space="preserve">5255 </w:t>
                          </w:r>
                          <w:r w:rsidRPr="006959BE">
                            <w:rPr>
                              <w:rFonts w:eastAsia="Calibri" w:hAnsi="Calibri" w:cs="Times New Roman"/>
                              <w:color w:val="FFFFFF"/>
                              <w:sz w:val="16"/>
                              <w:lang w:val="en-US"/>
                            </w:rPr>
                            <w:t>| F</w:t>
                          </w:r>
                          <w:r w:rsidRPr="006959BE">
                            <w:rPr>
                              <w:rFonts w:eastAsia="Calibri" w:hAnsi="Calibri" w:cs="Times New Roman"/>
                              <w:color w:val="FFFFFF"/>
                              <w:spacing w:val="-1"/>
                              <w:sz w:val="16"/>
                              <w:lang w:val="en-US"/>
                            </w:rPr>
                            <w:t xml:space="preserve"> </w:t>
                          </w:r>
                          <w:r w:rsidRPr="006959BE">
                            <w:rPr>
                              <w:rFonts w:eastAsia="Calibri" w:hAnsi="Calibri" w:cs="Times New Roman"/>
                              <w:color w:val="FFFFFF"/>
                              <w:sz w:val="16"/>
                              <w:lang w:val="en-US"/>
                            </w:rPr>
                            <w:t>(08)</w:t>
                          </w:r>
                          <w:r w:rsidRPr="006959BE">
                            <w:rPr>
                              <w:rFonts w:eastAsia="Calibri" w:hAnsi="Calibri" w:cs="Times New Roman"/>
                              <w:color w:val="FFFFFF"/>
                              <w:spacing w:val="-1"/>
                              <w:sz w:val="16"/>
                              <w:lang w:val="en-US"/>
                            </w:rPr>
                            <w:t xml:space="preserve"> 9757 2512 </w:t>
                          </w:r>
                          <w:r w:rsidRPr="006959BE">
                            <w:rPr>
                              <w:rFonts w:eastAsia="Calibri" w:hAnsi="Calibri" w:cs="Times New Roman"/>
                              <w:color w:val="FFFFFF"/>
                              <w:sz w:val="16"/>
                              <w:lang w:val="en-US"/>
                            </w:rPr>
                            <w:t xml:space="preserve">| </w:t>
                          </w:r>
                          <w:r>
                            <w:rPr>
                              <w:rFonts w:eastAsia="Calibri" w:hAnsi="Calibri" w:cs="Times New Roman"/>
                              <w:color w:val="FFFFFF"/>
                              <w:spacing w:val="-2"/>
                              <w:sz w:val="16"/>
                              <w:lang w:val="en-US"/>
                            </w:rPr>
                            <w:t>amrshire.wa.gov</w:t>
                          </w:r>
                          <w:r w:rsidRPr="00C82F1C">
                            <w:rPr>
                              <w:rFonts w:eastAsia="Calibri" w:hAnsi="Calibri" w:cs="Times New Roman"/>
                              <w:color w:val="FFFFFF" w:themeColor="background1"/>
                              <w:spacing w:val="-2"/>
                              <w:sz w:val="16"/>
                              <w:lang w:val="en-US"/>
                            </w:rPr>
                            <w:t>.au</w:t>
                          </w:r>
                        </w:p>
                      </w:txbxContent>
                    </wps:txbx>
                    <wps:bodyPr rot="0" spcFirstLastPara="0" vertOverflow="overflow" horzOverflow="overflow" vert="horz" wrap="square" lIns="0" tIns="72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047B7" id="Rectangle 20" o:spid="_x0000_s1026" style="position:absolute;left:0;text-align:left;margin-left:-.5pt;margin-top:799.35pt;width:596.7pt;height:4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" fillcolor="#046a38" stroked="f" strokeweight="1pt">
              <v:textbox inset="0,2mm,0,0">
                <w:txbxContent>
                  <w:p w14:paraId="40C033DB" w14:textId="77777777" w:rsidR="00C82F1C" w:rsidRPr="006959BE" w:rsidRDefault="00C82F1C" w:rsidP="00D8757A">
                    <w:pPr>
                      <w:widowControl w:val="0"/>
                      <w:spacing w:after="0" w:line="240" w:lineRule="auto"/>
                      <w:jc w:val="center"/>
                      <w:rPr>
                        <w:rFonts w:eastAsia="Arial" w:cs="Arial"/>
                        <w:color w:val="FFFFFF" w:themeColor="background1"/>
                        <w:sz w:val="16"/>
                        <w:szCs w:val="16"/>
                        <w:lang w:val="en-US"/>
                      </w:rPr>
                    </w:pPr>
                    <w:r w:rsidRPr="006959BE">
                      <w:rPr>
                        <w:rFonts w:eastAsia="Calibri" w:hAnsi="Calibri" w:cs="Times New Roman"/>
                        <w:b/>
                        <w:color w:val="FFFFFF"/>
                        <w:sz w:val="16"/>
                        <w:lang w:val="en-US"/>
                      </w:rPr>
                      <w:t>Shire</w:t>
                    </w:r>
                    <w:r w:rsidRPr="006959BE">
                      <w:rPr>
                        <w:rFonts w:eastAsia="Calibri" w:hAnsi="Calibri" w:cs="Times New Roman"/>
                        <w:b/>
                        <w:color w:val="FFFFFF"/>
                        <w:spacing w:val="-1"/>
                        <w:sz w:val="16"/>
                        <w:lang w:val="en-US"/>
                      </w:rPr>
                      <w:t xml:space="preserve"> </w:t>
                    </w:r>
                    <w:r w:rsidRPr="006959BE">
                      <w:rPr>
                        <w:rFonts w:eastAsia="Calibri" w:hAnsi="Calibri" w:cs="Times New Roman"/>
                        <w:b/>
                        <w:color w:val="FFFFFF"/>
                        <w:sz w:val="16"/>
                        <w:lang w:val="en-US"/>
                      </w:rPr>
                      <w:t>of</w:t>
                    </w:r>
                    <w:r w:rsidRPr="006959BE">
                      <w:rPr>
                        <w:rFonts w:eastAsia="Calibri" w:hAnsi="Calibri" w:cs="Times New Roman"/>
                        <w:b/>
                        <w:color w:val="FFFFFF"/>
                        <w:spacing w:val="-7"/>
                        <w:sz w:val="16"/>
                        <w:lang w:val="en-US"/>
                      </w:rPr>
                      <w:t xml:space="preserve"> </w:t>
                    </w:r>
                    <w:r w:rsidRPr="006959BE">
                      <w:rPr>
                        <w:rFonts w:eastAsia="Calibri" w:hAnsi="Calibri" w:cs="Times New Roman"/>
                        <w:b/>
                        <w:color w:val="FFFFFF"/>
                        <w:spacing w:val="-1"/>
                        <w:sz w:val="16"/>
                        <w:lang w:val="en-US"/>
                      </w:rPr>
                      <w:t xml:space="preserve">Augusta </w:t>
                    </w:r>
                    <w:r w:rsidRPr="006959BE">
                      <w:rPr>
                        <w:rFonts w:eastAsia="Calibri" w:hAnsi="Calibri" w:cs="Times New Roman"/>
                        <w:b/>
                        <w:color w:val="FFFFFF"/>
                        <w:sz w:val="16"/>
                        <w:lang w:val="en-US"/>
                      </w:rPr>
                      <w:t>Margaret</w:t>
                    </w:r>
                    <w:r w:rsidRPr="006959BE">
                      <w:rPr>
                        <w:rFonts w:eastAsia="Calibri" w:hAnsi="Calibri" w:cs="Times New Roman"/>
                        <w:b/>
                        <w:color w:val="FFFFFF"/>
                        <w:spacing w:val="-2"/>
                        <w:sz w:val="16"/>
                        <w:lang w:val="en-US"/>
                      </w:rPr>
                      <w:t xml:space="preserve"> </w:t>
                    </w:r>
                    <w:r w:rsidRPr="006959BE">
                      <w:rPr>
                        <w:rFonts w:eastAsia="Calibri" w:hAnsi="Calibri" w:cs="Times New Roman"/>
                        <w:b/>
                        <w:color w:val="FFFFFF"/>
                        <w:spacing w:val="-1"/>
                        <w:sz w:val="16"/>
                        <w:lang w:val="en-US"/>
                      </w:rPr>
                      <w:t>River</w:t>
                    </w:r>
                    <w:r w:rsidRPr="006959BE">
                      <w:rPr>
                        <w:rFonts w:eastAsia="Calibri" w:hAnsi="Calibri" w:cs="Times New Roman"/>
                        <w:b/>
                        <w:color w:val="FFFFFF"/>
                        <w:sz w:val="16"/>
                        <w:lang w:val="en-US"/>
                      </w:rPr>
                      <w:t xml:space="preserve"> </w:t>
                    </w:r>
                    <w:r w:rsidRPr="006959BE">
                      <w:rPr>
                        <w:rFonts w:eastAsia="Calibri" w:hAnsi="Calibri" w:cs="Times New Roman"/>
                        <w:color w:val="FFFFFF"/>
                        <w:spacing w:val="-1"/>
                        <w:sz w:val="16"/>
                        <w:lang w:val="en-US"/>
                      </w:rPr>
                      <w:t xml:space="preserve">41 </w:t>
                    </w:r>
                    <w:r w:rsidRPr="006959BE">
                      <w:rPr>
                        <w:rFonts w:eastAsia="Calibri" w:hAnsi="Calibri" w:cs="Times New Roman"/>
                        <w:color w:val="FFFFFF"/>
                        <w:spacing w:val="-2"/>
                        <w:sz w:val="16"/>
                        <w:lang w:val="en-US"/>
                      </w:rPr>
                      <w:t>Wallcliffe</w:t>
                    </w:r>
                    <w:r w:rsidRPr="006959BE">
                      <w:rPr>
                        <w:rFonts w:eastAsia="Calibri" w:hAnsi="Calibri" w:cs="Times New Roman"/>
                        <w:color w:val="FFFFFF"/>
                        <w:spacing w:val="-1"/>
                        <w:sz w:val="16"/>
                        <w:lang w:val="en-US"/>
                      </w:rPr>
                      <w:t xml:space="preserve"> Road, </w:t>
                    </w:r>
                    <w:r w:rsidRPr="006959BE">
                      <w:rPr>
                        <w:rFonts w:eastAsia="Calibri" w:hAnsi="Calibri" w:cs="Times New Roman"/>
                        <w:color w:val="FFFFFF"/>
                        <w:sz w:val="16"/>
                        <w:lang w:val="en-US"/>
                      </w:rPr>
                      <w:t>Margaret</w:t>
                    </w:r>
                    <w:r w:rsidRPr="006959BE">
                      <w:rPr>
                        <w:rFonts w:eastAsia="Calibri" w:hAnsi="Calibri" w:cs="Times New Roman"/>
                        <w:color w:val="FFFFFF"/>
                        <w:spacing w:val="-1"/>
                        <w:sz w:val="16"/>
                        <w:lang w:val="en-US"/>
                      </w:rPr>
                      <w:t xml:space="preserve"> River 6285</w:t>
                    </w:r>
                    <w:r w:rsidRPr="006959BE">
                      <w:rPr>
                        <w:rFonts w:eastAsia="Calibri" w:hAnsi="Calibri" w:cs="Times New Roman"/>
                        <w:color w:val="FFFFFF"/>
                        <w:sz w:val="16"/>
                        <w:lang w:val="en-US"/>
                      </w:rPr>
                      <w:t xml:space="preserve"> |</w:t>
                    </w:r>
                    <w:r w:rsidRPr="006959BE">
                      <w:rPr>
                        <w:rFonts w:eastAsia="Calibri" w:hAnsi="Calibri" w:cs="Times New Roman"/>
                        <w:color w:val="FFFFFF"/>
                        <w:spacing w:val="-4"/>
                        <w:sz w:val="16"/>
                        <w:lang w:val="en-US"/>
                      </w:rPr>
                      <w:t xml:space="preserve"> </w:t>
                    </w:r>
                    <w:r w:rsidRPr="006959BE">
                      <w:rPr>
                        <w:rFonts w:eastAsia="Calibri" w:hAnsi="Calibri" w:cs="Times New Roman"/>
                        <w:color w:val="FFFFFF"/>
                        <w:sz w:val="16"/>
                        <w:lang w:val="en-US"/>
                      </w:rPr>
                      <w:t>T</w:t>
                    </w:r>
                    <w:r w:rsidRPr="006959BE">
                      <w:rPr>
                        <w:rFonts w:eastAsia="Calibri" w:hAnsi="Calibri" w:cs="Times New Roman"/>
                        <w:color w:val="FFFFFF"/>
                        <w:spacing w:val="-3"/>
                        <w:sz w:val="16"/>
                        <w:lang w:val="en-US"/>
                      </w:rPr>
                      <w:t xml:space="preserve"> </w:t>
                    </w:r>
                    <w:r w:rsidRPr="006959BE">
                      <w:rPr>
                        <w:rFonts w:eastAsia="Calibri" w:hAnsi="Calibri" w:cs="Times New Roman"/>
                        <w:color w:val="FFFFFF"/>
                        <w:sz w:val="16"/>
                        <w:lang w:val="en-US"/>
                      </w:rPr>
                      <w:t>(08)</w:t>
                    </w:r>
                    <w:r w:rsidRPr="006959BE">
                      <w:rPr>
                        <w:rFonts w:eastAsia="Calibri" w:hAnsi="Calibri" w:cs="Times New Roman"/>
                        <w:color w:val="FFFFFF"/>
                        <w:spacing w:val="-2"/>
                        <w:sz w:val="16"/>
                        <w:lang w:val="en-US"/>
                      </w:rPr>
                      <w:t xml:space="preserve"> </w:t>
                    </w:r>
                    <w:r w:rsidRPr="006959BE">
                      <w:rPr>
                        <w:rFonts w:eastAsia="Calibri" w:hAnsi="Calibri" w:cs="Times New Roman"/>
                        <w:color w:val="FFFFFF"/>
                        <w:spacing w:val="-1"/>
                        <w:sz w:val="16"/>
                        <w:lang w:val="en-US"/>
                      </w:rPr>
                      <w:t>9780</w:t>
                    </w:r>
                    <w:r w:rsidRPr="006959BE">
                      <w:rPr>
                        <w:rFonts w:eastAsia="Calibri" w:hAnsi="Calibri" w:cs="Times New Roman"/>
                        <w:color w:val="FFFFFF"/>
                        <w:sz w:val="16"/>
                        <w:lang w:val="en-US"/>
                      </w:rPr>
                      <w:t xml:space="preserve"> </w:t>
                    </w:r>
                    <w:r w:rsidRPr="006959BE">
                      <w:rPr>
                        <w:rFonts w:eastAsia="Calibri" w:hAnsi="Calibri" w:cs="Times New Roman"/>
                        <w:color w:val="FFFFFF"/>
                        <w:spacing w:val="-1"/>
                        <w:sz w:val="16"/>
                        <w:lang w:val="en-US"/>
                      </w:rPr>
                      <w:t xml:space="preserve">5255 </w:t>
                    </w:r>
                    <w:r w:rsidRPr="006959BE">
                      <w:rPr>
                        <w:rFonts w:eastAsia="Calibri" w:hAnsi="Calibri" w:cs="Times New Roman"/>
                        <w:color w:val="FFFFFF"/>
                        <w:sz w:val="16"/>
                        <w:lang w:val="en-US"/>
                      </w:rPr>
                      <w:t>| F</w:t>
                    </w:r>
                    <w:r w:rsidRPr="006959BE">
                      <w:rPr>
                        <w:rFonts w:eastAsia="Calibri" w:hAnsi="Calibri" w:cs="Times New Roman"/>
                        <w:color w:val="FFFFFF"/>
                        <w:spacing w:val="-1"/>
                        <w:sz w:val="16"/>
                        <w:lang w:val="en-US"/>
                      </w:rPr>
                      <w:t xml:space="preserve"> </w:t>
                    </w:r>
                    <w:r w:rsidRPr="006959BE">
                      <w:rPr>
                        <w:rFonts w:eastAsia="Calibri" w:hAnsi="Calibri" w:cs="Times New Roman"/>
                        <w:color w:val="FFFFFF"/>
                        <w:sz w:val="16"/>
                        <w:lang w:val="en-US"/>
                      </w:rPr>
                      <w:t>(08)</w:t>
                    </w:r>
                    <w:r w:rsidRPr="006959BE">
                      <w:rPr>
                        <w:rFonts w:eastAsia="Calibri" w:hAnsi="Calibri" w:cs="Times New Roman"/>
                        <w:color w:val="FFFFFF"/>
                        <w:spacing w:val="-1"/>
                        <w:sz w:val="16"/>
                        <w:lang w:val="en-US"/>
                      </w:rPr>
                      <w:t xml:space="preserve"> 9757 2512 </w:t>
                    </w:r>
                    <w:r w:rsidRPr="006959BE">
                      <w:rPr>
                        <w:rFonts w:eastAsia="Calibri" w:hAnsi="Calibri" w:cs="Times New Roman"/>
                        <w:color w:val="FFFFFF"/>
                        <w:sz w:val="16"/>
                        <w:lang w:val="en-US"/>
                      </w:rPr>
                      <w:t xml:space="preserve">| </w:t>
                    </w:r>
                    <w:r>
                      <w:rPr>
                        <w:rFonts w:eastAsia="Calibri" w:hAnsi="Calibri" w:cs="Times New Roman"/>
                        <w:color w:val="FFFFFF"/>
                        <w:spacing w:val="-2"/>
                        <w:sz w:val="16"/>
                        <w:lang w:val="en-US"/>
                      </w:rPr>
                      <w:t>amrshire.wa.gov</w:t>
                    </w:r>
                    <w:r w:rsidRPr="00C82F1C">
                      <w:rPr>
                        <w:rFonts w:eastAsia="Calibri" w:hAnsi="Calibri" w:cs="Times New Roman"/>
                        <w:color w:val="FFFFFF" w:themeColor="background1"/>
                        <w:spacing w:val="-2"/>
                        <w:sz w:val="16"/>
                        <w:lang w:val="en-US"/>
                      </w:rPr>
                      <w:t>.au</w:t>
                    </w:r>
                  </w:p>
                </w:txbxContent>
              </v:textbox>
              <w10:wrap anchorx="page" anchory="page"/>
            </v:rect>
          </w:pict>
        </mc:Fallback>
      </mc:AlternateContent>
    </w:r>
    <w:r w:rsidR="008B1D38">
      <w:rPr>
        <w:rFonts w:eastAsia="Calibri" w:cs="Times New Roman"/>
      </w:rPr>
    </w:r>
    <w:r w:rsidR="008B1D38" w:rsidRPr="000A5F2D">
      <w:rPr>
        <w:rFonts w:eastAsia="Calibri" w:cs="Times New Roman"/>
      </w:rPr>
      <w:instrText xml:space="preserve"/>
    </w:r>
    <w:r w:rsidR="008B1D38">
      <w:rPr>
        <w:noProof/>
      </w:rP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E344" w14:textId="3C8DF287" w:rsidR="000A5F2D" w:rsidRPr="000A5F2D" w:rsidRDefault="00D8757A" w:rsidP="000A5F2D">
    <w:pPr>
      <w:pStyle w:val="Footer"/>
      <w:rPr>
        <w:rFonts w:eastAsia="Calibri" w:cs="Times New Roman"/>
      </w:rPr>
    </w:pPr>
    <w:r w:rsidRPr="00C82F1C">
      <w:rPr>
        <w:caps w:val="0"/>
        <w:noProof/>
        <w:sz w:val="22"/>
        <w:lang w:eastAsia="en-AU"/>
      </w:rPr>
      <mc:AlternateContent>
        <mc:Choice Requires="wps">
          <w:drawing>
            <wp:anchor distT="0" distB="0" distL="114300" distR="114300" simplePos="0" relativeHeight="251658752" behindDoc="0" locked="0" layoutInCell="1" allowOverlap="1" wp14:anchorId="012BDB21" wp14:editId="0A82388D">
              <wp:simplePos x="0" y="0"/>
              <wp:positionH relativeFrom="page">
                <wp:posOffset>-6350</wp:posOffset>
              </wp:positionH>
              <wp:positionV relativeFrom="page">
                <wp:posOffset>10155555</wp:posOffset>
              </wp:positionV>
              <wp:extent cx="7578000" cy="540000"/>
              <wp:effectExtent l="0" t="0" r="4445" b="0"/>
              <wp:wrapNone/>
              <wp:docPr id="21" name="Rectangle 21"/>
              <wp:cNvGraphicFramePr/>
              <a:graphic xmlns:a="http://schemas.openxmlformats.org/drawingml/2006/main">
                <a:graphicData uri="http://schemas.microsoft.com/office/word/2010/wordprocessingShape">
                  <wps:wsp>
                    <wps:cNvSpPr/>
                    <wps:spPr>
                      <a:xfrm>
                        <a:off x="0" y="0"/>
                        <a:ext cx="7578000" cy="540000"/>
                      </a:xfrm>
                      <a:prstGeom prst="rect">
                        <a:avLst/>
                      </a:prstGeom>
                      <a:solidFill>
                        <a:srgbClr val="046A38"/>
                      </a:solidFill>
                      <a:ln w="12700" cap="flat" cmpd="sng" algn="ctr">
                        <a:noFill/>
                        <a:prstDash val="solid"/>
                        <a:miter lim="800000"/>
                      </a:ln>
                      <a:effectLst/>
                    </wps:spPr>
                    <wps:txbx>
                      <w:txbxContent>
                        <w:p w14:paraId="0B428921" w14:textId="77777777" w:rsidR="00D8757A" w:rsidRPr="006959BE" w:rsidRDefault="00D8757A" w:rsidP="00D8757A">
                          <w:pPr>
                            <w:widowControl w:val="0"/>
                            <w:spacing w:after="0" w:line="240" w:lineRule="auto"/>
                            <w:jc w:val="center"/>
                            <w:rPr>
                              <w:rFonts w:eastAsia="Arial" w:cs="Arial"/>
                              <w:color w:val="FFFFFF" w:themeColor="background1"/>
                              <w:sz w:val="16"/>
                              <w:szCs w:val="16"/>
                              <w:lang w:val="en-US"/>
                            </w:rPr>
                          </w:pPr>
                          <w:r w:rsidRPr="006959BE">
                            <w:rPr>
                              <w:rFonts w:eastAsia="Calibri" w:hAnsi="Calibri" w:cs="Times New Roman"/>
                              <w:b/>
                              <w:color w:val="FFFFFF"/>
                              <w:sz w:val="16"/>
                              <w:lang w:val="en-US"/>
                            </w:rPr>
                            <w:t>Shire</w:t>
                          </w:r>
                          <w:r w:rsidRPr="006959BE">
                            <w:rPr>
                              <w:rFonts w:eastAsia="Calibri" w:hAnsi="Calibri" w:cs="Times New Roman"/>
                              <w:b/>
                              <w:color w:val="FFFFFF"/>
                              <w:spacing w:val="-1"/>
                              <w:sz w:val="16"/>
                              <w:lang w:val="en-US"/>
                            </w:rPr>
                            <w:t xml:space="preserve"> </w:t>
                          </w:r>
                          <w:r w:rsidRPr="006959BE">
                            <w:rPr>
                              <w:rFonts w:eastAsia="Calibri" w:hAnsi="Calibri" w:cs="Times New Roman"/>
                              <w:b/>
                              <w:color w:val="FFFFFF"/>
                              <w:sz w:val="16"/>
                              <w:lang w:val="en-US"/>
                            </w:rPr>
                            <w:t>of</w:t>
                          </w:r>
                          <w:r w:rsidRPr="006959BE">
                            <w:rPr>
                              <w:rFonts w:eastAsia="Calibri" w:hAnsi="Calibri" w:cs="Times New Roman"/>
                              <w:b/>
                              <w:color w:val="FFFFFF"/>
                              <w:spacing w:val="-7"/>
                              <w:sz w:val="16"/>
                              <w:lang w:val="en-US"/>
                            </w:rPr>
                            <w:t xml:space="preserve"> </w:t>
                          </w:r>
                          <w:r w:rsidRPr="006959BE">
                            <w:rPr>
                              <w:rFonts w:eastAsia="Calibri" w:hAnsi="Calibri" w:cs="Times New Roman"/>
                              <w:b/>
                              <w:color w:val="FFFFFF"/>
                              <w:spacing w:val="-1"/>
                              <w:sz w:val="16"/>
                              <w:lang w:val="en-US"/>
                            </w:rPr>
                            <w:t xml:space="preserve">Augusta </w:t>
                          </w:r>
                          <w:r w:rsidRPr="006959BE">
                            <w:rPr>
                              <w:rFonts w:eastAsia="Calibri" w:hAnsi="Calibri" w:cs="Times New Roman"/>
                              <w:b/>
                              <w:color w:val="FFFFFF"/>
                              <w:sz w:val="16"/>
                              <w:lang w:val="en-US"/>
                            </w:rPr>
                            <w:t>Margaret</w:t>
                          </w:r>
                          <w:r w:rsidRPr="006959BE">
                            <w:rPr>
                              <w:rFonts w:eastAsia="Calibri" w:hAnsi="Calibri" w:cs="Times New Roman"/>
                              <w:b/>
                              <w:color w:val="FFFFFF"/>
                              <w:spacing w:val="-2"/>
                              <w:sz w:val="16"/>
                              <w:lang w:val="en-US"/>
                            </w:rPr>
                            <w:t xml:space="preserve"> </w:t>
                          </w:r>
                          <w:r w:rsidRPr="006959BE">
                            <w:rPr>
                              <w:rFonts w:eastAsia="Calibri" w:hAnsi="Calibri" w:cs="Times New Roman"/>
                              <w:b/>
                              <w:color w:val="FFFFFF"/>
                              <w:spacing w:val="-1"/>
                              <w:sz w:val="16"/>
                              <w:lang w:val="en-US"/>
                            </w:rPr>
                            <w:t>River</w:t>
                          </w:r>
                          <w:r w:rsidRPr="006959BE">
                            <w:rPr>
                              <w:rFonts w:eastAsia="Calibri" w:hAnsi="Calibri" w:cs="Times New Roman"/>
                              <w:b/>
                              <w:color w:val="FFFFFF"/>
                              <w:sz w:val="16"/>
                              <w:lang w:val="en-US"/>
                            </w:rPr>
                            <w:t xml:space="preserve"> </w:t>
                          </w:r>
                          <w:r w:rsidRPr="006959BE">
                            <w:rPr>
                              <w:rFonts w:eastAsia="Calibri" w:hAnsi="Calibri" w:cs="Times New Roman"/>
                              <w:color w:val="FFFFFF"/>
                              <w:spacing w:val="-1"/>
                              <w:sz w:val="16"/>
                              <w:lang w:val="en-US"/>
                            </w:rPr>
                            <w:t xml:space="preserve">41 </w:t>
                          </w:r>
                          <w:r w:rsidRPr="006959BE">
                            <w:rPr>
                              <w:rFonts w:eastAsia="Calibri" w:hAnsi="Calibri" w:cs="Times New Roman"/>
                              <w:color w:val="FFFFFF"/>
                              <w:spacing w:val="-2"/>
                              <w:sz w:val="16"/>
                              <w:lang w:val="en-US"/>
                            </w:rPr>
                            <w:t>Wallcliffe</w:t>
                          </w:r>
                          <w:r w:rsidRPr="006959BE">
                            <w:rPr>
                              <w:rFonts w:eastAsia="Calibri" w:hAnsi="Calibri" w:cs="Times New Roman"/>
                              <w:color w:val="FFFFFF"/>
                              <w:spacing w:val="-1"/>
                              <w:sz w:val="16"/>
                              <w:lang w:val="en-US"/>
                            </w:rPr>
                            <w:t xml:space="preserve"> Road, </w:t>
                          </w:r>
                          <w:r w:rsidRPr="006959BE">
                            <w:rPr>
                              <w:rFonts w:eastAsia="Calibri" w:hAnsi="Calibri" w:cs="Times New Roman"/>
                              <w:color w:val="FFFFFF"/>
                              <w:sz w:val="16"/>
                              <w:lang w:val="en-US"/>
                            </w:rPr>
                            <w:t>Margaret</w:t>
                          </w:r>
                          <w:r w:rsidRPr="006959BE">
                            <w:rPr>
                              <w:rFonts w:eastAsia="Calibri" w:hAnsi="Calibri" w:cs="Times New Roman"/>
                              <w:color w:val="FFFFFF"/>
                              <w:spacing w:val="-1"/>
                              <w:sz w:val="16"/>
                              <w:lang w:val="en-US"/>
                            </w:rPr>
                            <w:t xml:space="preserve"> River 6285</w:t>
                          </w:r>
                          <w:r w:rsidRPr="006959BE">
                            <w:rPr>
                              <w:rFonts w:eastAsia="Calibri" w:hAnsi="Calibri" w:cs="Times New Roman"/>
                              <w:color w:val="FFFFFF"/>
                              <w:sz w:val="16"/>
                              <w:lang w:val="en-US"/>
                            </w:rPr>
                            <w:t xml:space="preserve"> |</w:t>
                          </w:r>
                          <w:r w:rsidRPr="006959BE">
                            <w:rPr>
                              <w:rFonts w:eastAsia="Calibri" w:hAnsi="Calibri" w:cs="Times New Roman"/>
                              <w:color w:val="FFFFFF"/>
                              <w:spacing w:val="-4"/>
                              <w:sz w:val="16"/>
                              <w:lang w:val="en-US"/>
                            </w:rPr>
                            <w:t xml:space="preserve"> </w:t>
                          </w:r>
                          <w:r w:rsidRPr="006959BE">
                            <w:rPr>
                              <w:rFonts w:eastAsia="Calibri" w:hAnsi="Calibri" w:cs="Times New Roman"/>
                              <w:color w:val="FFFFFF"/>
                              <w:sz w:val="16"/>
                              <w:lang w:val="en-US"/>
                            </w:rPr>
                            <w:t>T</w:t>
                          </w:r>
                          <w:r w:rsidRPr="006959BE">
                            <w:rPr>
                              <w:rFonts w:eastAsia="Calibri" w:hAnsi="Calibri" w:cs="Times New Roman"/>
                              <w:color w:val="FFFFFF"/>
                              <w:spacing w:val="-3"/>
                              <w:sz w:val="16"/>
                              <w:lang w:val="en-US"/>
                            </w:rPr>
                            <w:t xml:space="preserve"> </w:t>
                          </w:r>
                          <w:r w:rsidRPr="006959BE">
                            <w:rPr>
                              <w:rFonts w:eastAsia="Calibri" w:hAnsi="Calibri" w:cs="Times New Roman"/>
                              <w:color w:val="FFFFFF"/>
                              <w:sz w:val="16"/>
                              <w:lang w:val="en-US"/>
                            </w:rPr>
                            <w:t>(08)</w:t>
                          </w:r>
                          <w:r w:rsidRPr="006959BE">
                            <w:rPr>
                              <w:rFonts w:eastAsia="Calibri" w:hAnsi="Calibri" w:cs="Times New Roman"/>
                              <w:color w:val="FFFFFF"/>
                              <w:spacing w:val="-2"/>
                              <w:sz w:val="16"/>
                              <w:lang w:val="en-US"/>
                            </w:rPr>
                            <w:t xml:space="preserve"> </w:t>
                          </w:r>
                          <w:r w:rsidRPr="006959BE">
                            <w:rPr>
                              <w:rFonts w:eastAsia="Calibri" w:hAnsi="Calibri" w:cs="Times New Roman"/>
                              <w:color w:val="FFFFFF"/>
                              <w:spacing w:val="-1"/>
                              <w:sz w:val="16"/>
                              <w:lang w:val="en-US"/>
                            </w:rPr>
                            <w:t>9780</w:t>
                          </w:r>
                          <w:r w:rsidRPr="006959BE">
                            <w:rPr>
                              <w:rFonts w:eastAsia="Calibri" w:hAnsi="Calibri" w:cs="Times New Roman"/>
                              <w:color w:val="FFFFFF"/>
                              <w:sz w:val="16"/>
                              <w:lang w:val="en-US"/>
                            </w:rPr>
                            <w:t xml:space="preserve"> </w:t>
                          </w:r>
                          <w:r w:rsidRPr="006959BE">
                            <w:rPr>
                              <w:rFonts w:eastAsia="Calibri" w:hAnsi="Calibri" w:cs="Times New Roman"/>
                              <w:color w:val="FFFFFF"/>
                              <w:spacing w:val="-1"/>
                              <w:sz w:val="16"/>
                              <w:lang w:val="en-US"/>
                            </w:rPr>
                            <w:t xml:space="preserve">5255 </w:t>
                          </w:r>
                          <w:r w:rsidRPr="006959BE">
                            <w:rPr>
                              <w:rFonts w:eastAsia="Calibri" w:hAnsi="Calibri" w:cs="Times New Roman"/>
                              <w:color w:val="FFFFFF"/>
                              <w:sz w:val="16"/>
                              <w:lang w:val="en-US"/>
                            </w:rPr>
                            <w:t>| F</w:t>
                          </w:r>
                          <w:r w:rsidRPr="006959BE">
                            <w:rPr>
                              <w:rFonts w:eastAsia="Calibri" w:hAnsi="Calibri" w:cs="Times New Roman"/>
                              <w:color w:val="FFFFFF"/>
                              <w:spacing w:val="-1"/>
                              <w:sz w:val="16"/>
                              <w:lang w:val="en-US"/>
                            </w:rPr>
                            <w:t xml:space="preserve"> </w:t>
                          </w:r>
                          <w:r w:rsidRPr="006959BE">
                            <w:rPr>
                              <w:rFonts w:eastAsia="Calibri" w:hAnsi="Calibri" w:cs="Times New Roman"/>
                              <w:color w:val="FFFFFF"/>
                              <w:sz w:val="16"/>
                              <w:lang w:val="en-US"/>
                            </w:rPr>
                            <w:t>(08)</w:t>
                          </w:r>
                          <w:r w:rsidRPr="006959BE">
                            <w:rPr>
                              <w:rFonts w:eastAsia="Calibri" w:hAnsi="Calibri" w:cs="Times New Roman"/>
                              <w:color w:val="FFFFFF"/>
                              <w:spacing w:val="-1"/>
                              <w:sz w:val="16"/>
                              <w:lang w:val="en-US"/>
                            </w:rPr>
                            <w:t xml:space="preserve"> 9757 2512 </w:t>
                          </w:r>
                          <w:r w:rsidRPr="006959BE">
                            <w:rPr>
                              <w:rFonts w:eastAsia="Calibri" w:hAnsi="Calibri" w:cs="Times New Roman"/>
                              <w:color w:val="FFFFFF"/>
                              <w:sz w:val="16"/>
                              <w:lang w:val="en-US"/>
                            </w:rPr>
                            <w:t xml:space="preserve">| </w:t>
                          </w:r>
                          <w:r>
                            <w:rPr>
                              <w:rFonts w:eastAsia="Calibri" w:hAnsi="Calibri" w:cs="Times New Roman"/>
                              <w:color w:val="FFFFFF"/>
                              <w:spacing w:val="-2"/>
                              <w:sz w:val="16"/>
                              <w:lang w:val="en-US"/>
                            </w:rPr>
                            <w:t>amrshire.wa.gov</w:t>
                          </w:r>
                          <w:r w:rsidRPr="00C82F1C">
                            <w:rPr>
                              <w:rFonts w:eastAsia="Calibri" w:hAnsi="Calibri" w:cs="Times New Roman"/>
                              <w:color w:val="FFFFFF" w:themeColor="background1"/>
                              <w:spacing w:val="-2"/>
                              <w:sz w:val="16"/>
                              <w:lang w:val="en-US"/>
                            </w:rPr>
                            <w:t>.au</w:t>
                          </w:r>
                        </w:p>
                      </w:txbxContent>
                    </wps:txbx>
                    <wps:bodyPr rot="0" spcFirstLastPara="0" vertOverflow="overflow" horzOverflow="overflow" vert="horz" wrap="square" lIns="0" tIns="72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BDB21" id="Rectangle 21" o:spid="_x0000_s1027" style="position:absolute;left:0;text-align:left;margin-left:-.5pt;margin-top:799.65pt;width:596.7pt;height:4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" fillcolor="#046a38" stroked="f" strokeweight="1pt">
              <v:textbox inset="0,2mm,0,0">
                <w:txbxContent>
                  <w:p w14:paraId="0B428921" w14:textId="77777777" w:rsidR="00D8757A" w:rsidRPr="006959BE" w:rsidRDefault="00D8757A" w:rsidP="00D8757A">
                    <w:pPr>
                      <w:widowControl w:val="0"/>
                      <w:spacing w:after="0" w:line="240" w:lineRule="auto"/>
                      <w:jc w:val="center"/>
                      <w:rPr>
                        <w:rFonts w:eastAsia="Arial" w:cs="Arial"/>
                        <w:color w:val="FFFFFF" w:themeColor="background1"/>
                        <w:sz w:val="16"/>
                        <w:szCs w:val="16"/>
                        <w:lang w:val="en-US"/>
                      </w:rPr>
                    </w:pPr>
                    <w:r w:rsidRPr="006959BE">
                      <w:rPr>
                        <w:rFonts w:eastAsia="Calibri" w:hAnsi="Calibri" w:cs="Times New Roman"/>
                        <w:b/>
                        <w:color w:val="FFFFFF"/>
                        <w:sz w:val="16"/>
                        <w:lang w:val="en-US"/>
                      </w:rPr>
                      <w:t>Shire</w:t>
                    </w:r>
                    <w:r w:rsidRPr="006959BE">
                      <w:rPr>
                        <w:rFonts w:eastAsia="Calibri" w:hAnsi="Calibri" w:cs="Times New Roman"/>
                        <w:b/>
                        <w:color w:val="FFFFFF"/>
                        <w:spacing w:val="-1"/>
                        <w:sz w:val="16"/>
                        <w:lang w:val="en-US"/>
                      </w:rPr>
                      <w:t xml:space="preserve"> </w:t>
                    </w:r>
                    <w:r w:rsidRPr="006959BE">
                      <w:rPr>
                        <w:rFonts w:eastAsia="Calibri" w:hAnsi="Calibri" w:cs="Times New Roman"/>
                        <w:b/>
                        <w:color w:val="FFFFFF"/>
                        <w:sz w:val="16"/>
                        <w:lang w:val="en-US"/>
                      </w:rPr>
                      <w:t>of</w:t>
                    </w:r>
                    <w:r w:rsidRPr="006959BE">
                      <w:rPr>
                        <w:rFonts w:eastAsia="Calibri" w:hAnsi="Calibri" w:cs="Times New Roman"/>
                        <w:b/>
                        <w:color w:val="FFFFFF"/>
                        <w:spacing w:val="-7"/>
                        <w:sz w:val="16"/>
                        <w:lang w:val="en-US"/>
                      </w:rPr>
                      <w:t xml:space="preserve"> </w:t>
                    </w:r>
                    <w:r w:rsidRPr="006959BE">
                      <w:rPr>
                        <w:rFonts w:eastAsia="Calibri" w:hAnsi="Calibri" w:cs="Times New Roman"/>
                        <w:b/>
                        <w:color w:val="FFFFFF"/>
                        <w:spacing w:val="-1"/>
                        <w:sz w:val="16"/>
                        <w:lang w:val="en-US"/>
                      </w:rPr>
                      <w:t xml:space="preserve">Augusta </w:t>
                    </w:r>
                    <w:r w:rsidRPr="006959BE">
                      <w:rPr>
                        <w:rFonts w:eastAsia="Calibri" w:hAnsi="Calibri" w:cs="Times New Roman"/>
                        <w:b/>
                        <w:color w:val="FFFFFF"/>
                        <w:sz w:val="16"/>
                        <w:lang w:val="en-US"/>
                      </w:rPr>
                      <w:t>Margaret</w:t>
                    </w:r>
                    <w:r w:rsidRPr="006959BE">
                      <w:rPr>
                        <w:rFonts w:eastAsia="Calibri" w:hAnsi="Calibri" w:cs="Times New Roman"/>
                        <w:b/>
                        <w:color w:val="FFFFFF"/>
                        <w:spacing w:val="-2"/>
                        <w:sz w:val="16"/>
                        <w:lang w:val="en-US"/>
                      </w:rPr>
                      <w:t xml:space="preserve"> </w:t>
                    </w:r>
                    <w:r w:rsidRPr="006959BE">
                      <w:rPr>
                        <w:rFonts w:eastAsia="Calibri" w:hAnsi="Calibri" w:cs="Times New Roman"/>
                        <w:b/>
                        <w:color w:val="FFFFFF"/>
                        <w:spacing w:val="-1"/>
                        <w:sz w:val="16"/>
                        <w:lang w:val="en-US"/>
                      </w:rPr>
                      <w:t>River</w:t>
                    </w:r>
                    <w:r w:rsidRPr="006959BE">
                      <w:rPr>
                        <w:rFonts w:eastAsia="Calibri" w:hAnsi="Calibri" w:cs="Times New Roman"/>
                        <w:b/>
                        <w:color w:val="FFFFFF"/>
                        <w:sz w:val="16"/>
                        <w:lang w:val="en-US"/>
                      </w:rPr>
                      <w:t xml:space="preserve"> </w:t>
                    </w:r>
                    <w:r w:rsidRPr="006959BE">
                      <w:rPr>
                        <w:rFonts w:eastAsia="Calibri" w:hAnsi="Calibri" w:cs="Times New Roman"/>
                        <w:color w:val="FFFFFF"/>
                        <w:spacing w:val="-1"/>
                        <w:sz w:val="16"/>
                        <w:lang w:val="en-US"/>
                      </w:rPr>
                      <w:t xml:space="preserve">41 </w:t>
                    </w:r>
                    <w:r w:rsidRPr="006959BE">
                      <w:rPr>
                        <w:rFonts w:eastAsia="Calibri" w:hAnsi="Calibri" w:cs="Times New Roman"/>
                        <w:color w:val="FFFFFF"/>
                        <w:spacing w:val="-2"/>
                        <w:sz w:val="16"/>
                        <w:lang w:val="en-US"/>
                      </w:rPr>
                      <w:t>Wallcliffe</w:t>
                    </w:r>
                    <w:r w:rsidRPr="006959BE">
                      <w:rPr>
                        <w:rFonts w:eastAsia="Calibri" w:hAnsi="Calibri" w:cs="Times New Roman"/>
                        <w:color w:val="FFFFFF"/>
                        <w:spacing w:val="-1"/>
                        <w:sz w:val="16"/>
                        <w:lang w:val="en-US"/>
                      </w:rPr>
                      <w:t xml:space="preserve"> Road, </w:t>
                    </w:r>
                    <w:r w:rsidRPr="006959BE">
                      <w:rPr>
                        <w:rFonts w:eastAsia="Calibri" w:hAnsi="Calibri" w:cs="Times New Roman"/>
                        <w:color w:val="FFFFFF"/>
                        <w:sz w:val="16"/>
                        <w:lang w:val="en-US"/>
                      </w:rPr>
                      <w:t>Margaret</w:t>
                    </w:r>
                    <w:r w:rsidRPr="006959BE">
                      <w:rPr>
                        <w:rFonts w:eastAsia="Calibri" w:hAnsi="Calibri" w:cs="Times New Roman"/>
                        <w:color w:val="FFFFFF"/>
                        <w:spacing w:val="-1"/>
                        <w:sz w:val="16"/>
                        <w:lang w:val="en-US"/>
                      </w:rPr>
                      <w:t xml:space="preserve"> River 6285</w:t>
                    </w:r>
                    <w:r w:rsidRPr="006959BE">
                      <w:rPr>
                        <w:rFonts w:eastAsia="Calibri" w:hAnsi="Calibri" w:cs="Times New Roman"/>
                        <w:color w:val="FFFFFF"/>
                        <w:sz w:val="16"/>
                        <w:lang w:val="en-US"/>
                      </w:rPr>
                      <w:t xml:space="preserve"> |</w:t>
                    </w:r>
                    <w:r w:rsidRPr="006959BE">
                      <w:rPr>
                        <w:rFonts w:eastAsia="Calibri" w:hAnsi="Calibri" w:cs="Times New Roman"/>
                        <w:color w:val="FFFFFF"/>
                        <w:spacing w:val="-4"/>
                        <w:sz w:val="16"/>
                        <w:lang w:val="en-US"/>
                      </w:rPr>
                      <w:t xml:space="preserve"> </w:t>
                    </w:r>
                    <w:r w:rsidRPr="006959BE">
                      <w:rPr>
                        <w:rFonts w:eastAsia="Calibri" w:hAnsi="Calibri" w:cs="Times New Roman"/>
                        <w:color w:val="FFFFFF"/>
                        <w:sz w:val="16"/>
                        <w:lang w:val="en-US"/>
                      </w:rPr>
                      <w:t>T</w:t>
                    </w:r>
                    <w:r w:rsidRPr="006959BE">
                      <w:rPr>
                        <w:rFonts w:eastAsia="Calibri" w:hAnsi="Calibri" w:cs="Times New Roman"/>
                        <w:color w:val="FFFFFF"/>
                        <w:spacing w:val="-3"/>
                        <w:sz w:val="16"/>
                        <w:lang w:val="en-US"/>
                      </w:rPr>
                      <w:t xml:space="preserve"> </w:t>
                    </w:r>
                    <w:r w:rsidRPr="006959BE">
                      <w:rPr>
                        <w:rFonts w:eastAsia="Calibri" w:hAnsi="Calibri" w:cs="Times New Roman"/>
                        <w:color w:val="FFFFFF"/>
                        <w:sz w:val="16"/>
                        <w:lang w:val="en-US"/>
                      </w:rPr>
                      <w:t>(08)</w:t>
                    </w:r>
                    <w:r w:rsidRPr="006959BE">
                      <w:rPr>
                        <w:rFonts w:eastAsia="Calibri" w:hAnsi="Calibri" w:cs="Times New Roman"/>
                        <w:color w:val="FFFFFF"/>
                        <w:spacing w:val="-2"/>
                        <w:sz w:val="16"/>
                        <w:lang w:val="en-US"/>
                      </w:rPr>
                      <w:t xml:space="preserve"> </w:t>
                    </w:r>
                    <w:r w:rsidRPr="006959BE">
                      <w:rPr>
                        <w:rFonts w:eastAsia="Calibri" w:hAnsi="Calibri" w:cs="Times New Roman"/>
                        <w:color w:val="FFFFFF"/>
                        <w:spacing w:val="-1"/>
                        <w:sz w:val="16"/>
                        <w:lang w:val="en-US"/>
                      </w:rPr>
                      <w:t>9780</w:t>
                    </w:r>
                    <w:r w:rsidRPr="006959BE">
                      <w:rPr>
                        <w:rFonts w:eastAsia="Calibri" w:hAnsi="Calibri" w:cs="Times New Roman"/>
                        <w:color w:val="FFFFFF"/>
                        <w:sz w:val="16"/>
                        <w:lang w:val="en-US"/>
                      </w:rPr>
                      <w:t xml:space="preserve"> </w:t>
                    </w:r>
                    <w:r w:rsidRPr="006959BE">
                      <w:rPr>
                        <w:rFonts w:eastAsia="Calibri" w:hAnsi="Calibri" w:cs="Times New Roman"/>
                        <w:color w:val="FFFFFF"/>
                        <w:spacing w:val="-1"/>
                        <w:sz w:val="16"/>
                        <w:lang w:val="en-US"/>
                      </w:rPr>
                      <w:t xml:space="preserve">5255 </w:t>
                    </w:r>
                    <w:r w:rsidRPr="006959BE">
                      <w:rPr>
                        <w:rFonts w:eastAsia="Calibri" w:hAnsi="Calibri" w:cs="Times New Roman"/>
                        <w:color w:val="FFFFFF"/>
                        <w:sz w:val="16"/>
                        <w:lang w:val="en-US"/>
                      </w:rPr>
                      <w:t>| F</w:t>
                    </w:r>
                    <w:r w:rsidRPr="006959BE">
                      <w:rPr>
                        <w:rFonts w:eastAsia="Calibri" w:hAnsi="Calibri" w:cs="Times New Roman"/>
                        <w:color w:val="FFFFFF"/>
                        <w:spacing w:val="-1"/>
                        <w:sz w:val="16"/>
                        <w:lang w:val="en-US"/>
                      </w:rPr>
                      <w:t xml:space="preserve"> </w:t>
                    </w:r>
                    <w:r w:rsidRPr="006959BE">
                      <w:rPr>
                        <w:rFonts w:eastAsia="Calibri" w:hAnsi="Calibri" w:cs="Times New Roman"/>
                        <w:color w:val="FFFFFF"/>
                        <w:sz w:val="16"/>
                        <w:lang w:val="en-US"/>
                      </w:rPr>
                      <w:t>(08)</w:t>
                    </w:r>
                    <w:r w:rsidRPr="006959BE">
                      <w:rPr>
                        <w:rFonts w:eastAsia="Calibri" w:hAnsi="Calibri" w:cs="Times New Roman"/>
                        <w:color w:val="FFFFFF"/>
                        <w:spacing w:val="-1"/>
                        <w:sz w:val="16"/>
                        <w:lang w:val="en-US"/>
                      </w:rPr>
                      <w:t xml:space="preserve"> 9757 2512 </w:t>
                    </w:r>
                    <w:r w:rsidRPr="006959BE">
                      <w:rPr>
                        <w:rFonts w:eastAsia="Calibri" w:hAnsi="Calibri" w:cs="Times New Roman"/>
                        <w:color w:val="FFFFFF"/>
                        <w:sz w:val="16"/>
                        <w:lang w:val="en-US"/>
                      </w:rPr>
                      <w:t xml:space="preserve">| </w:t>
                    </w:r>
                    <w:r>
                      <w:rPr>
                        <w:rFonts w:eastAsia="Calibri" w:hAnsi="Calibri" w:cs="Times New Roman"/>
                        <w:color w:val="FFFFFF"/>
                        <w:spacing w:val="-2"/>
                        <w:sz w:val="16"/>
                        <w:lang w:val="en-US"/>
                      </w:rPr>
                      <w:t>amrshire.wa.gov</w:t>
                    </w:r>
                    <w:r w:rsidRPr="00C82F1C">
                      <w:rPr>
                        <w:rFonts w:eastAsia="Calibri" w:hAnsi="Calibri" w:cs="Times New Roman"/>
                        <w:color w:val="FFFFFF" w:themeColor="background1"/>
                        <w:spacing w:val="-2"/>
                        <w:sz w:val="16"/>
                        <w:lang w:val="en-US"/>
                      </w:rPr>
                      <w:t>.au</w:t>
                    </w:r>
                  </w:p>
                </w:txbxContent>
              </v:textbox>
              <w10:wrap anchorx="page" anchory="page"/>
            </v:rect>
          </w:pict>
        </mc:Fallback>
      </mc:AlternateContent>
    </w:r>
    <w:r w:rsidR="000A5F2D" w:rsidRPr="000A5F2D">
      <w:rPr>
        <w:rFonts w:eastAsia="Calibri" w:cs="Times New Roman"/>
      </w:rPr>
    </w:r>
    <w:r w:rsidR="000A5F2D" w:rsidRPr="000A5F2D">
      <w:rPr>
        <w:rFonts w:eastAsia="Calibri" w:cs="Times New Roman"/>
      </w:rPr>
      <w:instrText xml:space="preserve"/>
    </w:r>
    <w:r w:rsidR="000A5F2D" w:rsidRPr="000A5F2D">
      <w:rPr>
        <w:rFonts w:eastAsia="Calibri" w:cs="Times New Roman"/>
      </w:rPr>
    </w:r>
    <w:r w:rsidR="006E0028">
      <w:rPr>
        <w:rFonts w:eastAsia="Calibri" w:cs="Times New Roman"/>
        <w:noProof/>
      </w:rPr>
      <w:t>Public Interest Disclosure (PID) Procedure</w:t>
    </w:r>
    <w:r w:rsidR="000A5F2D" w:rsidRPr="000A5F2D">
      <w:rPr>
        <w:rFonts w:eastAsia="Calibri" w:cs="Times New Roman"/>
        <w:noProof/>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1BE96" w14:textId="77777777" w:rsidR="00097068" w:rsidRDefault="00097068" w:rsidP="00C30A19">
      <w:pPr>
        <w:spacing w:after="0" w:line="240" w:lineRule="auto"/>
      </w:pPr>
      <w:r>
        <w:separator/>
      </w:r>
    </w:p>
  </w:footnote>
  <w:footnote w:type="continuationSeparator" w:id="0">
    <w:p w14:paraId="0857A3FD" w14:textId="77777777" w:rsidR="00097068" w:rsidRDefault="00097068" w:rsidP="00C30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86B2" w14:textId="77777777" w:rsidR="008871FF" w:rsidRDefault="008871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BC74" w14:textId="517BB05D" w:rsidR="00C30A19" w:rsidRDefault="000B4043" w:rsidP="00AE0200">
    <w:pPr>
      <w:pStyle w:val="Header"/>
      <w:jc w:val="right"/>
    </w:pPr>
    <w:r>
      <w:rPr>
        <w:noProof/>
        <w:lang w:eastAsia="en-AU"/>
      </w:rPr>
      <w:drawing>
        <wp:anchor distT="0" distB="0" distL="114300" distR="114300" simplePos="0" relativeHeight="251656704" behindDoc="1" locked="0" layoutInCell="1" allowOverlap="1" wp14:anchorId="091DD531" wp14:editId="58885F63">
          <wp:simplePos x="0" y="0"/>
          <wp:positionH relativeFrom="column">
            <wp:posOffset>-864235</wp:posOffset>
          </wp:positionH>
          <wp:positionV relativeFrom="paragraph">
            <wp:posOffset>-184573</wp:posOffset>
          </wp:positionV>
          <wp:extent cx="7559709" cy="10456333"/>
          <wp:effectExtent l="0" t="0" r="317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edure Template2.jpg"/>
                  <pic:cNvPicPr/>
                </pic:nvPicPr>
                <pic:blipFill rotWithShape="1">
                  <a:blip r:embed="rId1" cstate="print">
                    <a:extLst>
                      <a:ext uri="{28A0092B-C50C-407E-A947-70E740481C1C}">
                        <a14:useLocalDpi xmlns:a14="http://schemas.microsoft.com/office/drawing/2010/main" val="0"/>
                      </a:ext>
                    </a:extLst>
                  </a:blip>
                  <a:srcRect b="2217"/>
                  <a:stretch/>
                </pic:blipFill>
                <pic:spPr bwMode="auto">
                  <a:xfrm>
                    <a:off x="0" y="0"/>
                    <a:ext cx="7560000" cy="10456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7EB5" w14:textId="77777777" w:rsidR="00C30A19" w:rsidRDefault="000B4043">
    <w:pPr>
      <w:pStyle w:val="Header"/>
    </w:pPr>
    <w:r>
      <w:rPr>
        <w:noProof/>
        <w:lang w:eastAsia="en-AU"/>
      </w:rPr>
      <w:drawing>
        <wp:anchor distT="0" distB="0" distL="114300" distR="114300" simplePos="0" relativeHeight="251655680" behindDoc="1" locked="0" layoutInCell="1" allowOverlap="1" wp14:anchorId="00ADEE1E" wp14:editId="2B94A933">
          <wp:simplePos x="0" y="0"/>
          <wp:positionH relativeFrom="column">
            <wp:posOffset>-870585</wp:posOffset>
          </wp:positionH>
          <wp:positionV relativeFrom="paragraph">
            <wp:posOffset>-180340</wp:posOffset>
          </wp:positionV>
          <wp:extent cx="7578000" cy="10485877"/>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edure Template1.jpg"/>
                  <pic:cNvPicPr/>
                </pic:nvPicPr>
                <pic:blipFill rotWithShape="1">
                  <a:blip r:embed="rId1" cstate="print">
                    <a:extLst>
                      <a:ext uri="{28A0092B-C50C-407E-A947-70E740481C1C}">
                        <a14:useLocalDpi xmlns:a14="http://schemas.microsoft.com/office/drawing/2010/main" val="0"/>
                      </a:ext>
                    </a:extLst>
                  </a:blip>
                  <a:srcRect b="2178"/>
                  <a:stretch/>
                </pic:blipFill>
                <pic:spPr bwMode="auto">
                  <a:xfrm>
                    <a:off x="0" y="0"/>
                    <a:ext cx="7578000" cy="104858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B04C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7AF5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D8FC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00D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4B1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677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8247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2BD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260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60EC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D62C8"/>
    <w:multiLevelType w:val="hybridMultilevel"/>
    <w:tmpl w:val="9B4AD2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8060A6B"/>
    <w:multiLevelType w:val="hybridMultilevel"/>
    <w:tmpl w:val="CBFE8ABE"/>
    <w:lvl w:ilvl="0" w:tplc="2E583CA8">
      <w:start w:val="1"/>
      <w:numFmt w:val="decimal"/>
      <w:lvlText w:val="%1."/>
      <w:lvlJc w:val="left"/>
      <w:pPr>
        <w:ind w:left="602" w:hanging="358"/>
      </w:pPr>
      <w:rPr>
        <w:rFonts w:ascii="Arial" w:eastAsia="Arial" w:hAnsi="Arial" w:cs="Arial" w:hint="default"/>
        <w:b/>
        <w:bCs/>
        <w:i w:val="0"/>
        <w:iCs w:val="0"/>
        <w:spacing w:val="-1"/>
        <w:w w:val="99"/>
        <w:sz w:val="24"/>
        <w:szCs w:val="24"/>
        <w:lang w:val="en-US" w:eastAsia="en-US" w:bidi="ar-SA"/>
      </w:rPr>
    </w:lvl>
    <w:lvl w:ilvl="1" w:tplc="6CC8C8B2">
      <w:numFmt w:val="bullet"/>
      <w:lvlText w:val="•"/>
      <w:lvlJc w:val="left"/>
      <w:pPr>
        <w:ind w:left="962" w:hanging="361"/>
      </w:pPr>
      <w:rPr>
        <w:rFonts w:ascii="Verdana" w:eastAsia="Verdana" w:hAnsi="Verdana" w:cs="Verdana" w:hint="default"/>
        <w:b w:val="0"/>
        <w:bCs w:val="0"/>
        <w:i w:val="0"/>
        <w:iCs w:val="0"/>
        <w:w w:val="84"/>
        <w:sz w:val="22"/>
        <w:szCs w:val="22"/>
        <w:lang w:val="en-US" w:eastAsia="en-US" w:bidi="ar-SA"/>
      </w:rPr>
    </w:lvl>
    <w:lvl w:ilvl="2" w:tplc="D1624832">
      <w:numFmt w:val="bullet"/>
      <w:lvlText w:val="•"/>
      <w:lvlJc w:val="left"/>
      <w:pPr>
        <w:ind w:left="1922" w:hanging="361"/>
      </w:pPr>
      <w:rPr>
        <w:rFonts w:hint="default"/>
        <w:lang w:val="en-US" w:eastAsia="en-US" w:bidi="ar-SA"/>
      </w:rPr>
    </w:lvl>
    <w:lvl w:ilvl="3" w:tplc="11D217F6">
      <w:numFmt w:val="bullet"/>
      <w:lvlText w:val="•"/>
      <w:lvlJc w:val="left"/>
      <w:pPr>
        <w:ind w:left="2885" w:hanging="361"/>
      </w:pPr>
      <w:rPr>
        <w:rFonts w:hint="default"/>
        <w:lang w:val="en-US" w:eastAsia="en-US" w:bidi="ar-SA"/>
      </w:rPr>
    </w:lvl>
    <w:lvl w:ilvl="4" w:tplc="85AA4018">
      <w:numFmt w:val="bullet"/>
      <w:lvlText w:val="•"/>
      <w:lvlJc w:val="left"/>
      <w:pPr>
        <w:ind w:left="3848" w:hanging="361"/>
      </w:pPr>
      <w:rPr>
        <w:rFonts w:hint="default"/>
        <w:lang w:val="en-US" w:eastAsia="en-US" w:bidi="ar-SA"/>
      </w:rPr>
    </w:lvl>
    <w:lvl w:ilvl="5" w:tplc="6BAAB0DA">
      <w:numFmt w:val="bullet"/>
      <w:lvlText w:val="•"/>
      <w:lvlJc w:val="left"/>
      <w:pPr>
        <w:ind w:left="4811" w:hanging="361"/>
      </w:pPr>
      <w:rPr>
        <w:rFonts w:hint="default"/>
        <w:lang w:val="en-US" w:eastAsia="en-US" w:bidi="ar-SA"/>
      </w:rPr>
    </w:lvl>
    <w:lvl w:ilvl="6" w:tplc="3A62101E">
      <w:numFmt w:val="bullet"/>
      <w:lvlText w:val="•"/>
      <w:lvlJc w:val="left"/>
      <w:pPr>
        <w:ind w:left="5774" w:hanging="361"/>
      </w:pPr>
      <w:rPr>
        <w:rFonts w:hint="default"/>
        <w:lang w:val="en-US" w:eastAsia="en-US" w:bidi="ar-SA"/>
      </w:rPr>
    </w:lvl>
    <w:lvl w:ilvl="7" w:tplc="BABEA45A">
      <w:numFmt w:val="bullet"/>
      <w:lvlText w:val="•"/>
      <w:lvlJc w:val="left"/>
      <w:pPr>
        <w:ind w:left="6737" w:hanging="361"/>
      </w:pPr>
      <w:rPr>
        <w:rFonts w:hint="default"/>
        <w:lang w:val="en-US" w:eastAsia="en-US" w:bidi="ar-SA"/>
      </w:rPr>
    </w:lvl>
    <w:lvl w:ilvl="8" w:tplc="9430956E">
      <w:numFmt w:val="bullet"/>
      <w:lvlText w:val="•"/>
      <w:lvlJc w:val="left"/>
      <w:pPr>
        <w:ind w:left="7699" w:hanging="361"/>
      </w:pPr>
      <w:rPr>
        <w:rFonts w:hint="default"/>
        <w:lang w:val="en-US" w:eastAsia="en-US" w:bidi="ar-SA"/>
      </w:rPr>
    </w:lvl>
  </w:abstractNum>
  <w:abstractNum w:abstractNumId="12" w15:restartNumberingAfterBreak="0">
    <w:nsid w:val="08A41975"/>
    <w:multiLevelType w:val="hybridMultilevel"/>
    <w:tmpl w:val="585646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3CB0845"/>
    <w:multiLevelType w:val="hybridMultilevel"/>
    <w:tmpl w:val="69545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FD7A6D"/>
    <w:multiLevelType w:val="hybridMultilevel"/>
    <w:tmpl w:val="DF5EBBEA"/>
    <w:lvl w:ilvl="0" w:tplc="A2F0578A">
      <w:numFmt w:val="bullet"/>
      <w:lvlText w:val="•"/>
      <w:lvlJc w:val="left"/>
      <w:pPr>
        <w:ind w:left="722" w:hanging="361"/>
      </w:pPr>
      <w:rPr>
        <w:rFonts w:ascii="Verdana" w:eastAsia="Verdana" w:hAnsi="Verdana" w:cs="Verdana" w:hint="default"/>
        <w:b w:val="0"/>
        <w:bCs w:val="0"/>
        <w:i w:val="0"/>
        <w:iCs w:val="0"/>
        <w:w w:val="84"/>
        <w:sz w:val="22"/>
        <w:szCs w:val="22"/>
        <w:lang w:val="en-US" w:eastAsia="en-US" w:bidi="ar-SA"/>
      </w:rPr>
    </w:lvl>
    <w:lvl w:ilvl="1" w:tplc="C78E36EE">
      <w:numFmt w:val="bullet"/>
      <w:lvlText w:val="•"/>
      <w:lvlJc w:val="left"/>
      <w:pPr>
        <w:ind w:left="1586" w:hanging="361"/>
      </w:pPr>
      <w:rPr>
        <w:rFonts w:hint="default"/>
        <w:lang w:val="en-US" w:eastAsia="en-US" w:bidi="ar-SA"/>
      </w:rPr>
    </w:lvl>
    <w:lvl w:ilvl="2" w:tplc="AC269906">
      <w:numFmt w:val="bullet"/>
      <w:lvlText w:val="•"/>
      <w:lvlJc w:val="left"/>
      <w:pPr>
        <w:ind w:left="2453" w:hanging="361"/>
      </w:pPr>
      <w:rPr>
        <w:rFonts w:hint="default"/>
        <w:lang w:val="en-US" w:eastAsia="en-US" w:bidi="ar-SA"/>
      </w:rPr>
    </w:lvl>
    <w:lvl w:ilvl="3" w:tplc="FCDC1992">
      <w:numFmt w:val="bullet"/>
      <w:lvlText w:val="•"/>
      <w:lvlJc w:val="left"/>
      <w:pPr>
        <w:ind w:left="3319" w:hanging="361"/>
      </w:pPr>
      <w:rPr>
        <w:rFonts w:hint="default"/>
        <w:lang w:val="en-US" w:eastAsia="en-US" w:bidi="ar-SA"/>
      </w:rPr>
    </w:lvl>
    <w:lvl w:ilvl="4" w:tplc="60AC0D38">
      <w:numFmt w:val="bullet"/>
      <w:lvlText w:val="•"/>
      <w:lvlJc w:val="left"/>
      <w:pPr>
        <w:ind w:left="4186" w:hanging="361"/>
      </w:pPr>
      <w:rPr>
        <w:rFonts w:hint="default"/>
        <w:lang w:val="en-US" w:eastAsia="en-US" w:bidi="ar-SA"/>
      </w:rPr>
    </w:lvl>
    <w:lvl w:ilvl="5" w:tplc="9A80BBC0">
      <w:numFmt w:val="bullet"/>
      <w:lvlText w:val="•"/>
      <w:lvlJc w:val="left"/>
      <w:pPr>
        <w:ind w:left="5052" w:hanging="361"/>
      </w:pPr>
      <w:rPr>
        <w:rFonts w:hint="default"/>
        <w:lang w:val="en-US" w:eastAsia="en-US" w:bidi="ar-SA"/>
      </w:rPr>
    </w:lvl>
    <w:lvl w:ilvl="6" w:tplc="43D813D0">
      <w:numFmt w:val="bullet"/>
      <w:lvlText w:val="•"/>
      <w:lvlJc w:val="left"/>
      <w:pPr>
        <w:ind w:left="5919" w:hanging="361"/>
      </w:pPr>
      <w:rPr>
        <w:rFonts w:hint="default"/>
        <w:lang w:val="en-US" w:eastAsia="en-US" w:bidi="ar-SA"/>
      </w:rPr>
    </w:lvl>
    <w:lvl w:ilvl="7" w:tplc="66F64454">
      <w:numFmt w:val="bullet"/>
      <w:lvlText w:val="•"/>
      <w:lvlJc w:val="left"/>
      <w:pPr>
        <w:ind w:left="6785" w:hanging="361"/>
      </w:pPr>
      <w:rPr>
        <w:rFonts w:hint="default"/>
        <w:lang w:val="en-US" w:eastAsia="en-US" w:bidi="ar-SA"/>
      </w:rPr>
    </w:lvl>
    <w:lvl w:ilvl="8" w:tplc="B3ECE324">
      <w:numFmt w:val="bullet"/>
      <w:lvlText w:val="•"/>
      <w:lvlJc w:val="left"/>
      <w:pPr>
        <w:ind w:left="7652" w:hanging="361"/>
      </w:pPr>
      <w:rPr>
        <w:rFonts w:hint="default"/>
        <w:lang w:val="en-US" w:eastAsia="en-US" w:bidi="ar-SA"/>
      </w:rPr>
    </w:lvl>
  </w:abstractNum>
  <w:abstractNum w:abstractNumId="15" w15:restartNumberingAfterBreak="0">
    <w:nsid w:val="52194B2E"/>
    <w:multiLevelType w:val="hybridMultilevel"/>
    <w:tmpl w:val="B6DCAD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6D14A3F"/>
    <w:multiLevelType w:val="hybridMultilevel"/>
    <w:tmpl w:val="0D2E23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9682321"/>
    <w:multiLevelType w:val="hybridMultilevel"/>
    <w:tmpl w:val="FEF6EE28"/>
    <w:lvl w:ilvl="0" w:tplc="5296CF7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7A79"/>
    <w:multiLevelType w:val="hybridMultilevel"/>
    <w:tmpl w:val="8D58CAB6"/>
    <w:lvl w:ilvl="0" w:tplc="3A229130">
      <w:numFmt w:val="bullet"/>
      <w:lvlText w:val="•"/>
      <w:lvlJc w:val="left"/>
      <w:pPr>
        <w:ind w:left="962" w:hanging="361"/>
      </w:pPr>
      <w:rPr>
        <w:rFonts w:ascii="Verdana" w:eastAsia="Verdana" w:hAnsi="Verdana" w:cs="Verdana" w:hint="default"/>
        <w:b w:val="0"/>
        <w:bCs w:val="0"/>
        <w:i w:val="0"/>
        <w:iCs w:val="0"/>
        <w:w w:val="84"/>
        <w:sz w:val="22"/>
        <w:szCs w:val="22"/>
        <w:lang w:val="en-US" w:eastAsia="en-US" w:bidi="ar-SA"/>
      </w:rPr>
    </w:lvl>
    <w:lvl w:ilvl="1" w:tplc="78C6BB2C">
      <w:numFmt w:val="bullet"/>
      <w:lvlText w:val="•"/>
      <w:lvlJc w:val="left"/>
      <w:pPr>
        <w:ind w:left="1826" w:hanging="361"/>
      </w:pPr>
      <w:rPr>
        <w:rFonts w:hint="default"/>
        <w:lang w:val="en-US" w:eastAsia="en-US" w:bidi="ar-SA"/>
      </w:rPr>
    </w:lvl>
    <w:lvl w:ilvl="2" w:tplc="305A5644">
      <w:numFmt w:val="bullet"/>
      <w:lvlText w:val="•"/>
      <w:lvlJc w:val="left"/>
      <w:pPr>
        <w:ind w:left="2693" w:hanging="361"/>
      </w:pPr>
      <w:rPr>
        <w:rFonts w:hint="default"/>
        <w:lang w:val="en-US" w:eastAsia="en-US" w:bidi="ar-SA"/>
      </w:rPr>
    </w:lvl>
    <w:lvl w:ilvl="3" w:tplc="DDF6BA0C">
      <w:numFmt w:val="bullet"/>
      <w:lvlText w:val="•"/>
      <w:lvlJc w:val="left"/>
      <w:pPr>
        <w:ind w:left="3559" w:hanging="361"/>
      </w:pPr>
      <w:rPr>
        <w:rFonts w:hint="default"/>
        <w:lang w:val="en-US" w:eastAsia="en-US" w:bidi="ar-SA"/>
      </w:rPr>
    </w:lvl>
    <w:lvl w:ilvl="4" w:tplc="079C4C08">
      <w:numFmt w:val="bullet"/>
      <w:lvlText w:val="•"/>
      <w:lvlJc w:val="left"/>
      <w:pPr>
        <w:ind w:left="4426" w:hanging="361"/>
      </w:pPr>
      <w:rPr>
        <w:rFonts w:hint="default"/>
        <w:lang w:val="en-US" w:eastAsia="en-US" w:bidi="ar-SA"/>
      </w:rPr>
    </w:lvl>
    <w:lvl w:ilvl="5" w:tplc="6262DDF4">
      <w:numFmt w:val="bullet"/>
      <w:lvlText w:val="•"/>
      <w:lvlJc w:val="left"/>
      <w:pPr>
        <w:ind w:left="5292" w:hanging="361"/>
      </w:pPr>
      <w:rPr>
        <w:rFonts w:hint="default"/>
        <w:lang w:val="en-US" w:eastAsia="en-US" w:bidi="ar-SA"/>
      </w:rPr>
    </w:lvl>
    <w:lvl w:ilvl="6" w:tplc="67B4C8A4">
      <w:numFmt w:val="bullet"/>
      <w:lvlText w:val="•"/>
      <w:lvlJc w:val="left"/>
      <w:pPr>
        <w:ind w:left="6159" w:hanging="361"/>
      </w:pPr>
      <w:rPr>
        <w:rFonts w:hint="default"/>
        <w:lang w:val="en-US" w:eastAsia="en-US" w:bidi="ar-SA"/>
      </w:rPr>
    </w:lvl>
    <w:lvl w:ilvl="7" w:tplc="C5945662">
      <w:numFmt w:val="bullet"/>
      <w:lvlText w:val="•"/>
      <w:lvlJc w:val="left"/>
      <w:pPr>
        <w:ind w:left="7025" w:hanging="361"/>
      </w:pPr>
      <w:rPr>
        <w:rFonts w:hint="default"/>
        <w:lang w:val="en-US" w:eastAsia="en-US" w:bidi="ar-SA"/>
      </w:rPr>
    </w:lvl>
    <w:lvl w:ilvl="8" w:tplc="503C694C">
      <w:numFmt w:val="bullet"/>
      <w:lvlText w:val="•"/>
      <w:lvlJc w:val="left"/>
      <w:pPr>
        <w:ind w:left="7892" w:hanging="361"/>
      </w:pPr>
      <w:rPr>
        <w:rFonts w:hint="default"/>
        <w:lang w:val="en-US" w:eastAsia="en-US" w:bidi="ar-SA"/>
      </w:rPr>
    </w:lvl>
  </w:abstractNum>
  <w:abstractNum w:abstractNumId="19" w15:restartNumberingAfterBreak="0">
    <w:nsid w:val="5E0703B2"/>
    <w:multiLevelType w:val="hybridMultilevel"/>
    <w:tmpl w:val="EDD6ACB2"/>
    <w:lvl w:ilvl="0" w:tplc="B91E48E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F11574"/>
    <w:multiLevelType w:val="hybridMultilevel"/>
    <w:tmpl w:val="548E6322"/>
    <w:lvl w:ilvl="0" w:tplc="6FB61320">
      <w:start w:val="1"/>
      <w:numFmt w:val="bullet"/>
      <w:pStyle w:val="BulletList"/>
      <w:lvlText w:val=""/>
      <w:lvlJc w:val="left"/>
      <w:pPr>
        <w:ind w:left="1440" w:hanging="72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0556799"/>
    <w:multiLevelType w:val="multilevel"/>
    <w:tmpl w:val="7E809520"/>
    <w:lvl w:ilvl="0">
      <w:start w:val="1"/>
      <w:numFmt w:val="decimal"/>
      <w:lvlText w:val="%1."/>
      <w:lvlJc w:val="left"/>
      <w:pPr>
        <w:ind w:left="720" w:hanging="360"/>
      </w:pPr>
      <w:rPr>
        <w:rFonts w:hint="default"/>
      </w:rPr>
    </w:lvl>
    <w:lvl w:ilvl="1">
      <w:start w:val="1"/>
      <w:numFmt w:val="decimal"/>
      <w:pStyle w:val="Heading3"/>
      <w:isLgl/>
      <w:lvlText w:val="%1.%2"/>
      <w:lvlJc w:val="left"/>
      <w:pPr>
        <w:ind w:left="447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8CC16AC"/>
    <w:multiLevelType w:val="hybridMultilevel"/>
    <w:tmpl w:val="E0B03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131888"/>
    <w:multiLevelType w:val="multilevel"/>
    <w:tmpl w:val="CB68DE68"/>
    <w:lvl w:ilvl="0">
      <w:start w:val="1"/>
      <w:numFmt w:val="decimal"/>
      <w:pStyle w:val="Heading2"/>
      <w:lvlText w:val="%1."/>
      <w:lvlJc w:val="left"/>
      <w:pPr>
        <w:ind w:left="720" w:hanging="360"/>
      </w:pPr>
      <w:rPr>
        <w:b/>
        <w:bCs/>
      </w:r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23"/>
  </w:num>
  <w:num w:numId="3">
    <w:abstractNumId w:val="21"/>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3"/>
  </w:num>
  <w:num w:numId="19">
    <w:abstractNumId w:val="20"/>
  </w:num>
  <w:num w:numId="20">
    <w:abstractNumId w:val="10"/>
  </w:num>
  <w:num w:numId="21">
    <w:abstractNumId w:val="16"/>
  </w:num>
  <w:num w:numId="22">
    <w:abstractNumId w:val="1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76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68"/>
    <w:rsid w:val="000525C9"/>
    <w:rsid w:val="00097068"/>
    <w:rsid w:val="000A13F0"/>
    <w:rsid w:val="000A5F2D"/>
    <w:rsid w:val="000B34D4"/>
    <w:rsid w:val="000B4043"/>
    <w:rsid w:val="000C7C5B"/>
    <w:rsid w:val="000D6D4F"/>
    <w:rsid w:val="000F4FAD"/>
    <w:rsid w:val="00142AF9"/>
    <w:rsid w:val="00144E39"/>
    <w:rsid w:val="0017429E"/>
    <w:rsid w:val="001A0A51"/>
    <w:rsid w:val="001D15AA"/>
    <w:rsid w:val="001F79F6"/>
    <w:rsid w:val="00212BB8"/>
    <w:rsid w:val="00227B63"/>
    <w:rsid w:val="00257D3F"/>
    <w:rsid w:val="00272DBA"/>
    <w:rsid w:val="002805B7"/>
    <w:rsid w:val="002912A8"/>
    <w:rsid w:val="002A3319"/>
    <w:rsid w:val="002A603E"/>
    <w:rsid w:val="002D2608"/>
    <w:rsid w:val="002D5F95"/>
    <w:rsid w:val="002E1657"/>
    <w:rsid w:val="003345EA"/>
    <w:rsid w:val="00345B3E"/>
    <w:rsid w:val="00347F1F"/>
    <w:rsid w:val="00362456"/>
    <w:rsid w:val="00367FBF"/>
    <w:rsid w:val="00381303"/>
    <w:rsid w:val="00384844"/>
    <w:rsid w:val="003A62E1"/>
    <w:rsid w:val="003C030D"/>
    <w:rsid w:val="003D338C"/>
    <w:rsid w:val="003D48FB"/>
    <w:rsid w:val="003F5B89"/>
    <w:rsid w:val="004123A4"/>
    <w:rsid w:val="00423F93"/>
    <w:rsid w:val="00437BF8"/>
    <w:rsid w:val="004607DC"/>
    <w:rsid w:val="00466FAF"/>
    <w:rsid w:val="00475EF1"/>
    <w:rsid w:val="0049310E"/>
    <w:rsid w:val="00517783"/>
    <w:rsid w:val="005204C7"/>
    <w:rsid w:val="00521380"/>
    <w:rsid w:val="00531A6F"/>
    <w:rsid w:val="00546258"/>
    <w:rsid w:val="005545B3"/>
    <w:rsid w:val="005654EF"/>
    <w:rsid w:val="00575384"/>
    <w:rsid w:val="00582164"/>
    <w:rsid w:val="00585909"/>
    <w:rsid w:val="00593B12"/>
    <w:rsid w:val="005B04CD"/>
    <w:rsid w:val="005B1F0F"/>
    <w:rsid w:val="005C318D"/>
    <w:rsid w:val="005E536D"/>
    <w:rsid w:val="00610160"/>
    <w:rsid w:val="00614A04"/>
    <w:rsid w:val="0063187E"/>
    <w:rsid w:val="00636D74"/>
    <w:rsid w:val="00643CB5"/>
    <w:rsid w:val="00660187"/>
    <w:rsid w:val="006625DA"/>
    <w:rsid w:val="006659FF"/>
    <w:rsid w:val="006663C8"/>
    <w:rsid w:val="00683F98"/>
    <w:rsid w:val="00686904"/>
    <w:rsid w:val="006959BE"/>
    <w:rsid w:val="006A3E03"/>
    <w:rsid w:val="006A408A"/>
    <w:rsid w:val="006B4180"/>
    <w:rsid w:val="006D7936"/>
    <w:rsid w:val="006E0028"/>
    <w:rsid w:val="00712F7A"/>
    <w:rsid w:val="00714404"/>
    <w:rsid w:val="00754E1E"/>
    <w:rsid w:val="0079106E"/>
    <w:rsid w:val="00791C60"/>
    <w:rsid w:val="007A2D19"/>
    <w:rsid w:val="007B2A80"/>
    <w:rsid w:val="007B3364"/>
    <w:rsid w:val="007C41FE"/>
    <w:rsid w:val="007C63C3"/>
    <w:rsid w:val="007E3CC0"/>
    <w:rsid w:val="007F5A3C"/>
    <w:rsid w:val="007F5FA8"/>
    <w:rsid w:val="00802A50"/>
    <w:rsid w:val="00817C61"/>
    <w:rsid w:val="00835E06"/>
    <w:rsid w:val="0084013B"/>
    <w:rsid w:val="00863121"/>
    <w:rsid w:val="00865161"/>
    <w:rsid w:val="00871B4F"/>
    <w:rsid w:val="00876D5A"/>
    <w:rsid w:val="008871FF"/>
    <w:rsid w:val="0088774B"/>
    <w:rsid w:val="0089791D"/>
    <w:rsid w:val="008A67AC"/>
    <w:rsid w:val="008B1D38"/>
    <w:rsid w:val="008C16C9"/>
    <w:rsid w:val="008D68B8"/>
    <w:rsid w:val="008E59A0"/>
    <w:rsid w:val="00906C94"/>
    <w:rsid w:val="009222A2"/>
    <w:rsid w:val="00984AE8"/>
    <w:rsid w:val="009928A4"/>
    <w:rsid w:val="009958C2"/>
    <w:rsid w:val="009B1DA6"/>
    <w:rsid w:val="009D00B7"/>
    <w:rsid w:val="009E428A"/>
    <w:rsid w:val="00A00740"/>
    <w:rsid w:val="00A013E0"/>
    <w:rsid w:val="00A07973"/>
    <w:rsid w:val="00A96130"/>
    <w:rsid w:val="00AB6F30"/>
    <w:rsid w:val="00AD1532"/>
    <w:rsid w:val="00AD164B"/>
    <w:rsid w:val="00AE0200"/>
    <w:rsid w:val="00B31B73"/>
    <w:rsid w:val="00B41A03"/>
    <w:rsid w:val="00B753D6"/>
    <w:rsid w:val="00B91239"/>
    <w:rsid w:val="00B957F5"/>
    <w:rsid w:val="00BA2E5C"/>
    <w:rsid w:val="00BD4352"/>
    <w:rsid w:val="00BF1754"/>
    <w:rsid w:val="00C040A0"/>
    <w:rsid w:val="00C30A19"/>
    <w:rsid w:val="00C55805"/>
    <w:rsid w:val="00C72C73"/>
    <w:rsid w:val="00C754B4"/>
    <w:rsid w:val="00C82F1C"/>
    <w:rsid w:val="00C9754D"/>
    <w:rsid w:val="00CA002C"/>
    <w:rsid w:val="00CB4FA0"/>
    <w:rsid w:val="00D2128E"/>
    <w:rsid w:val="00D25737"/>
    <w:rsid w:val="00D3041D"/>
    <w:rsid w:val="00D635A3"/>
    <w:rsid w:val="00D8757A"/>
    <w:rsid w:val="00D95E1E"/>
    <w:rsid w:val="00DC72A0"/>
    <w:rsid w:val="00DE3C18"/>
    <w:rsid w:val="00DF4A60"/>
    <w:rsid w:val="00DF7024"/>
    <w:rsid w:val="00E14F43"/>
    <w:rsid w:val="00E807EB"/>
    <w:rsid w:val="00E839D5"/>
    <w:rsid w:val="00EA5D08"/>
    <w:rsid w:val="00ED6642"/>
    <w:rsid w:val="00EE36E7"/>
    <w:rsid w:val="00EE70F4"/>
    <w:rsid w:val="00EF0343"/>
    <w:rsid w:val="00EF2BD9"/>
    <w:rsid w:val="00F056FA"/>
    <w:rsid w:val="00F404BB"/>
    <w:rsid w:val="00F729B7"/>
    <w:rsid w:val="00F85498"/>
    <w:rsid w:val="00FA1EEC"/>
    <w:rsid w:val="00FA5562"/>
    <w:rsid w:val="00FD6B57"/>
    <w:rsid w:val="00FF45C7"/>
    <w:rsid w:val="00FF68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14:docId w14:val="5376A29D"/>
  <w15:docId w15:val="{5939BFB3-14F1-4A31-9A32-14BCAD1A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5B7"/>
    <w:pPr>
      <w:spacing w:line="252" w:lineRule="auto"/>
    </w:pPr>
    <w:rPr>
      <w:rFonts w:ascii="Arial" w:hAnsi="Arial"/>
    </w:rPr>
  </w:style>
  <w:style w:type="paragraph" w:styleId="Heading1">
    <w:name w:val="heading 1"/>
    <w:basedOn w:val="Normal"/>
    <w:next w:val="Normal"/>
    <w:link w:val="Heading1Char"/>
    <w:uiPriority w:val="9"/>
    <w:qFormat/>
    <w:rsid w:val="00C72C73"/>
    <w:pPr>
      <w:keepNext/>
      <w:keepLines/>
      <w:spacing w:before="200" w:after="20" w:line="240" w:lineRule="auto"/>
      <w:outlineLvl w:val="0"/>
    </w:pPr>
    <w:rPr>
      <w:rFonts w:eastAsiaTheme="majorEastAsia" w:cs="Arial"/>
      <w:b/>
      <w:bCs/>
      <w:color w:val="046A38"/>
      <w:sz w:val="32"/>
      <w:szCs w:val="28"/>
    </w:rPr>
  </w:style>
  <w:style w:type="paragraph" w:styleId="Heading2">
    <w:name w:val="heading 2"/>
    <w:basedOn w:val="Normal"/>
    <w:next w:val="Normal"/>
    <w:link w:val="Heading2Char"/>
    <w:uiPriority w:val="9"/>
    <w:unhideWhenUsed/>
    <w:qFormat/>
    <w:rsid w:val="002805B7"/>
    <w:pPr>
      <w:numPr>
        <w:numId w:val="2"/>
      </w:numPr>
      <w:jc w:val="both"/>
      <w:outlineLvl w:val="1"/>
    </w:pPr>
    <w:rPr>
      <w:b/>
      <w:sz w:val="28"/>
      <w:szCs w:val="28"/>
      <w:lang w:val="en-GB"/>
    </w:rPr>
  </w:style>
  <w:style w:type="paragraph" w:styleId="Heading3">
    <w:name w:val="heading 3"/>
    <w:basedOn w:val="Normal"/>
    <w:next w:val="Normal"/>
    <w:link w:val="Heading3Char"/>
    <w:uiPriority w:val="9"/>
    <w:unhideWhenUsed/>
    <w:qFormat/>
    <w:rsid w:val="002805B7"/>
    <w:pPr>
      <w:numPr>
        <w:ilvl w:val="1"/>
        <w:numId w:val="3"/>
      </w:numPr>
      <w:ind w:left="993" w:hanging="567"/>
      <w:jc w:val="both"/>
      <w:outlineLvl w:val="2"/>
    </w:pPr>
    <w:rPr>
      <w:rFonts w:asciiTheme="minorHAnsi" w:hAnsiTheme="minorHAnsi" w:cstheme="minorHAnsi"/>
      <w:b/>
      <w:sz w:val="28"/>
      <w:szCs w:val="28"/>
      <w:lang w:val="en-GB"/>
    </w:rPr>
  </w:style>
  <w:style w:type="paragraph" w:styleId="Heading4">
    <w:name w:val="heading 4"/>
    <w:basedOn w:val="Normal"/>
    <w:next w:val="Normal"/>
    <w:link w:val="Heading4Char"/>
    <w:uiPriority w:val="9"/>
    <w:unhideWhenUsed/>
    <w:qFormat/>
    <w:rsid w:val="002805B7"/>
    <w:pPr>
      <w:numPr>
        <w:ilvl w:val="2"/>
        <w:numId w:val="2"/>
      </w:numPr>
      <w:ind w:left="993" w:hanging="709"/>
      <w:contextualSpacing/>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A19"/>
  </w:style>
  <w:style w:type="paragraph" w:styleId="Footer">
    <w:name w:val="footer"/>
    <w:basedOn w:val="Normal"/>
    <w:link w:val="FooterChar"/>
    <w:uiPriority w:val="99"/>
    <w:unhideWhenUsed/>
    <w:rsid w:val="00AE0200"/>
    <w:pPr>
      <w:tabs>
        <w:tab w:val="center" w:pos="4680"/>
        <w:tab w:val="right" w:pos="9360"/>
      </w:tabs>
      <w:spacing w:after="0" w:line="240" w:lineRule="auto"/>
      <w:jc w:val="right"/>
    </w:pPr>
    <w:rPr>
      <w:caps/>
      <w:sz w:val="18"/>
    </w:rPr>
  </w:style>
  <w:style w:type="character" w:customStyle="1" w:styleId="FooterChar">
    <w:name w:val="Footer Char"/>
    <w:basedOn w:val="DefaultParagraphFont"/>
    <w:link w:val="Footer"/>
    <w:uiPriority w:val="99"/>
    <w:rsid w:val="00AE0200"/>
    <w:rPr>
      <w:rFonts w:ascii="Arial" w:hAnsi="Arial"/>
      <w:caps/>
      <w:sz w:val="18"/>
    </w:rPr>
  </w:style>
  <w:style w:type="paragraph" w:styleId="Title">
    <w:name w:val="Title"/>
    <w:basedOn w:val="Normal"/>
    <w:link w:val="TitleChar"/>
    <w:uiPriority w:val="10"/>
    <w:rsid w:val="00D635A3"/>
    <w:pPr>
      <w:spacing w:after="0" w:line="600" w:lineRule="exact"/>
      <w:ind w:left="-17"/>
      <w:contextualSpacing/>
    </w:pPr>
    <w:rPr>
      <w:rFonts w:eastAsiaTheme="majorEastAsia" w:cs="Arial"/>
      <w:noProof/>
      <w:color w:val="FFFFFF" w:themeColor="background1"/>
      <w:spacing w:val="5"/>
      <w:kern w:val="28"/>
      <w:sz w:val="56"/>
      <w:szCs w:val="52"/>
      <w:lang w:val="en-US"/>
    </w:rPr>
  </w:style>
  <w:style w:type="character" w:customStyle="1" w:styleId="TitleChar">
    <w:name w:val="Title Char"/>
    <w:basedOn w:val="DefaultParagraphFont"/>
    <w:link w:val="Title"/>
    <w:uiPriority w:val="10"/>
    <w:rsid w:val="00D635A3"/>
    <w:rPr>
      <w:rFonts w:ascii="Arial" w:eastAsiaTheme="majorEastAsia" w:hAnsi="Arial" w:cs="Arial"/>
      <w:noProof/>
      <w:color w:val="FFFFFF" w:themeColor="background1"/>
      <w:spacing w:val="5"/>
      <w:kern w:val="28"/>
      <w:sz w:val="56"/>
      <w:szCs w:val="52"/>
      <w:lang w:val="en-US"/>
    </w:rPr>
  </w:style>
  <w:style w:type="table" w:styleId="TableGrid">
    <w:name w:val="Table Grid"/>
    <w:basedOn w:val="TableNormal"/>
    <w:uiPriority w:val="39"/>
    <w:rsid w:val="00DE3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72C73"/>
    <w:rPr>
      <w:rFonts w:ascii="Arial" w:eastAsiaTheme="majorEastAsia" w:hAnsi="Arial" w:cs="Arial"/>
      <w:b/>
      <w:bCs/>
      <w:color w:val="046A38"/>
      <w:sz w:val="32"/>
      <w:szCs w:val="28"/>
    </w:rPr>
  </w:style>
  <w:style w:type="character" w:customStyle="1" w:styleId="Heading2Char">
    <w:name w:val="Heading 2 Char"/>
    <w:basedOn w:val="DefaultParagraphFont"/>
    <w:link w:val="Heading2"/>
    <w:uiPriority w:val="9"/>
    <w:rsid w:val="002805B7"/>
    <w:rPr>
      <w:rFonts w:ascii="Arial" w:hAnsi="Arial"/>
      <w:b/>
      <w:sz w:val="28"/>
      <w:szCs w:val="28"/>
      <w:lang w:val="en-GB"/>
    </w:rPr>
  </w:style>
  <w:style w:type="paragraph" w:styleId="ListParagraph">
    <w:name w:val="List Paragraph"/>
    <w:basedOn w:val="Normal"/>
    <w:uiPriority w:val="1"/>
    <w:qFormat/>
    <w:rsid w:val="003345EA"/>
    <w:pPr>
      <w:ind w:left="720"/>
      <w:contextualSpacing/>
    </w:pPr>
  </w:style>
  <w:style w:type="paragraph" w:customStyle="1" w:styleId="TableText">
    <w:name w:val="Table Text"/>
    <w:basedOn w:val="Normal"/>
    <w:qFormat/>
    <w:rsid w:val="003345EA"/>
    <w:pPr>
      <w:spacing w:after="0" w:line="240" w:lineRule="auto"/>
    </w:pPr>
    <w:rPr>
      <w:color w:val="000000" w:themeColor="text1"/>
    </w:rPr>
  </w:style>
  <w:style w:type="paragraph" w:customStyle="1" w:styleId="TableHeading">
    <w:name w:val="Table Heading"/>
    <w:basedOn w:val="TableText"/>
    <w:qFormat/>
    <w:rsid w:val="003C030D"/>
    <w:rPr>
      <w:color w:val="FFFFFF" w:themeColor="background1"/>
    </w:rPr>
  </w:style>
  <w:style w:type="table" w:customStyle="1" w:styleId="AugMR">
    <w:name w:val="AugMR"/>
    <w:basedOn w:val="TableNormal"/>
    <w:uiPriority w:val="99"/>
    <w:rsid w:val="00227B63"/>
    <w:pPr>
      <w:spacing w:after="0" w:line="240" w:lineRule="auto"/>
    </w:pPr>
    <w:rPr>
      <w:rFonts w:ascii="Arial" w:hAnsi="Arial"/>
    </w:rPr>
    <w:tblPr>
      <w:tblInd w:w="113" w:type="dxa"/>
      <w:tblBorders>
        <w:top w:val="single" w:sz="4" w:space="0" w:color="000000" w:themeColor="text1"/>
        <w:bottom w:val="single" w:sz="4" w:space="0" w:color="000000" w:themeColor="text1"/>
        <w:insideH w:val="single" w:sz="4" w:space="0" w:color="000000" w:themeColor="text1"/>
      </w:tblBorders>
      <w:tblCellMar>
        <w:top w:w="85" w:type="dxa"/>
        <w:bottom w:w="85" w:type="dxa"/>
      </w:tblCellMar>
    </w:tblPr>
    <w:tblStylePr w:type="firstCol">
      <w:rPr>
        <w:rFonts w:ascii="Arial" w:hAnsi="Arial"/>
        <w:b/>
        <w:sz w:val="22"/>
      </w:rPr>
      <w:tblPr/>
      <w:tcPr>
        <w:shd w:val="clear" w:color="auto" w:fill="F2F8F5"/>
      </w:tcPr>
    </w:tblStylePr>
  </w:style>
  <w:style w:type="paragraph" w:customStyle="1" w:styleId="DateLine">
    <w:name w:val="Date Line"/>
    <w:basedOn w:val="Normal"/>
    <w:qFormat/>
    <w:rsid w:val="002805B7"/>
    <w:pPr>
      <w:spacing w:after="0" w:line="600" w:lineRule="exact"/>
      <w:ind w:left="-17"/>
      <w:contextualSpacing/>
    </w:pPr>
    <w:rPr>
      <w:color w:val="046A38"/>
      <w:sz w:val="28"/>
      <w:szCs w:val="28"/>
    </w:rPr>
  </w:style>
  <w:style w:type="table" w:customStyle="1" w:styleId="AugMR1">
    <w:name w:val="AugMR1"/>
    <w:basedOn w:val="TableNormal"/>
    <w:uiPriority w:val="99"/>
    <w:rsid w:val="00865161"/>
    <w:pPr>
      <w:spacing w:after="0" w:line="240" w:lineRule="auto"/>
    </w:pPr>
    <w:rPr>
      <w:rFonts w:ascii="Arial" w:hAnsi="Arial"/>
    </w:rPr>
    <w:tblPr>
      <w:tblStyleRowBandSize w:val="1"/>
      <w:tblInd w:w="113" w:type="dxa"/>
      <w:tblCellMar>
        <w:top w:w="96" w:type="dxa"/>
        <w:bottom w:w="96" w:type="dxa"/>
      </w:tblCellMar>
    </w:tblPr>
    <w:tblStylePr w:type="firstRow">
      <w:rPr>
        <w:rFonts w:ascii="Arial" w:hAnsi="Arial"/>
        <w:b/>
        <w:color w:val="FFFFFF"/>
        <w:sz w:val="22"/>
      </w:rPr>
      <w:tblPr/>
      <w:tcPr>
        <w:shd w:val="clear" w:color="auto" w:fill="2872CE"/>
      </w:tcPr>
    </w:tblStylePr>
    <w:tblStylePr w:type="lastRow">
      <w:tblPr/>
      <w:tcPr>
        <w:shd w:val="clear" w:color="auto" w:fill="F2F8FD"/>
      </w:tcPr>
    </w:tblStylePr>
    <w:tblStylePr w:type="firstCol">
      <w:rPr>
        <w:rFonts w:ascii="Arial" w:hAnsi="Arial"/>
        <w:b w:val="0"/>
        <w:color w:val="000000"/>
        <w:sz w:val="22"/>
      </w:rPr>
      <w:tblPr/>
      <w:tcPr>
        <w:shd w:val="clear" w:color="auto" w:fill="F2F8FD"/>
      </w:tcPr>
    </w:tblStylePr>
    <w:tblStylePr w:type="band1Horz">
      <w:tblPr/>
      <w:tcPr>
        <w:tcBorders>
          <w:top w:val="nil"/>
          <w:left w:val="nil"/>
          <w:bottom w:val="single" w:sz="4" w:space="0" w:color="000000"/>
          <w:right w:val="nil"/>
          <w:insideH w:val="nil"/>
          <w:insideV w:val="nil"/>
          <w:tl2br w:val="nil"/>
          <w:tr2bl w:val="nil"/>
        </w:tcBorders>
      </w:tcPr>
    </w:tblStylePr>
    <w:tblStylePr w:type="band2Horz">
      <w:tblPr/>
      <w:tcPr>
        <w:tcBorders>
          <w:top w:val="nil"/>
          <w:left w:val="nil"/>
          <w:bottom w:val="single" w:sz="4" w:space="0" w:color="000000"/>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2805B7"/>
    <w:rPr>
      <w:rFonts w:cstheme="minorHAnsi"/>
      <w:b/>
      <w:sz w:val="28"/>
      <w:szCs w:val="28"/>
      <w:lang w:val="en-GB"/>
    </w:rPr>
  </w:style>
  <w:style w:type="character" w:customStyle="1" w:styleId="Heading4Char">
    <w:name w:val="Heading 4 Char"/>
    <w:basedOn w:val="DefaultParagraphFont"/>
    <w:link w:val="Heading4"/>
    <w:uiPriority w:val="9"/>
    <w:rsid w:val="002805B7"/>
    <w:rPr>
      <w:rFonts w:ascii="Arial" w:hAnsi="Arial"/>
      <w:b/>
      <w:bCs/>
    </w:rPr>
  </w:style>
  <w:style w:type="character" w:styleId="Hyperlink">
    <w:name w:val="Hyperlink"/>
    <w:uiPriority w:val="99"/>
    <w:rsid w:val="00F85498"/>
    <w:rPr>
      <w:color w:val="0000FF"/>
      <w:u w:val="single"/>
    </w:rPr>
  </w:style>
  <w:style w:type="paragraph" w:styleId="Caption">
    <w:name w:val="caption"/>
    <w:basedOn w:val="Normal"/>
    <w:next w:val="Normal"/>
    <w:unhideWhenUsed/>
    <w:qFormat/>
    <w:rsid w:val="00F85498"/>
    <w:pPr>
      <w:spacing w:before="240" w:after="240" w:line="240" w:lineRule="auto"/>
    </w:pPr>
    <w:rPr>
      <w:rFonts w:eastAsia="Arial Unicode MS" w:cs="Times New Roman"/>
      <w:b/>
      <w:bCs/>
      <w:sz w:val="20"/>
      <w:szCs w:val="20"/>
      <w:lang w:val="en-US" w:eastAsia="zh-CN"/>
    </w:rPr>
  </w:style>
  <w:style w:type="paragraph" w:customStyle="1" w:styleId="BulletList">
    <w:name w:val="Bullet List"/>
    <w:basedOn w:val="Normal"/>
    <w:link w:val="BulletListChar"/>
    <w:autoRedefine/>
    <w:qFormat/>
    <w:rsid w:val="00AB6F30"/>
    <w:pPr>
      <w:numPr>
        <w:numId w:val="19"/>
      </w:numPr>
      <w:spacing w:before="80" w:after="80" w:line="276" w:lineRule="auto"/>
      <w:ind w:left="284" w:hanging="284"/>
      <w:jc w:val="both"/>
    </w:pPr>
    <w:rPr>
      <w:rFonts w:eastAsia="Times New Roman" w:cs="Arial"/>
      <w:i/>
      <w:iCs/>
      <w:sz w:val="23"/>
      <w:szCs w:val="23"/>
      <w:lang w:eastAsia="en-AU"/>
    </w:rPr>
  </w:style>
  <w:style w:type="character" w:customStyle="1" w:styleId="BulletListChar">
    <w:name w:val="Bullet List Char"/>
    <w:link w:val="BulletList"/>
    <w:rsid w:val="00AB6F30"/>
    <w:rPr>
      <w:rFonts w:ascii="Arial" w:eastAsia="Times New Roman" w:hAnsi="Arial" w:cs="Arial"/>
      <w:i/>
      <w:iCs/>
      <w:sz w:val="23"/>
      <w:szCs w:val="23"/>
      <w:lang w:eastAsia="en-AU"/>
    </w:rPr>
  </w:style>
  <w:style w:type="table" w:styleId="TableColumns2">
    <w:name w:val="Table Columns 2"/>
    <w:basedOn w:val="TableNormal"/>
    <w:rsid w:val="00F85498"/>
    <w:pPr>
      <w:spacing w:before="60" w:after="60" w:line="276" w:lineRule="auto"/>
    </w:pPr>
    <w:rPr>
      <w:rFonts w:ascii="Arial" w:eastAsia="Arial Unicode MS" w:hAnsi="Arial" w:cs="Times New Roman"/>
      <w:bCs/>
      <w:sz w:val="23"/>
      <w:szCs w:val="20"/>
      <w:lang w:eastAsia="en-AU"/>
    </w:rPr>
    <w:tblPr>
      <w:tblStyleRowBandSize w:val="1"/>
      <w:tblStyleColBandSize w:val="1"/>
      <w:tblBorders>
        <w:top w:val="single" w:sz="4" w:space="0" w:color="F1F1F1"/>
        <w:left w:val="single" w:sz="4" w:space="0" w:color="F1F1F1"/>
        <w:bottom w:val="single" w:sz="4" w:space="0" w:color="F1F1F1"/>
        <w:right w:val="single" w:sz="4" w:space="0" w:color="F1F1F1"/>
        <w:insideH w:val="single" w:sz="4" w:space="0" w:color="F1F1F1"/>
        <w:insideV w:val="single" w:sz="4" w:space="0" w:color="F1F1F1"/>
      </w:tblBorders>
    </w:tblPr>
    <w:tcPr>
      <w:shd w:val="clear" w:color="auto" w:fill="auto"/>
    </w:tcPr>
    <w:tblStylePr w:type="firstRow">
      <w:pPr>
        <w:wordWrap/>
        <w:spacing w:beforeLines="60" w:beforeAutospacing="0" w:afterLines="60" w:afterAutospacing="0" w:line="276" w:lineRule="auto"/>
      </w:pPr>
      <w:rPr>
        <w:rFonts w:ascii="Arial" w:hAnsi="Arial"/>
        <w:b/>
        <w:color w:val="FFFFFF"/>
        <w:sz w:val="23"/>
      </w:rPr>
      <w:tblPr/>
      <w:tcPr>
        <w:tcBorders>
          <w:top w:val="nil"/>
          <w:left w:val="nil"/>
          <w:bottom w:val="nil"/>
          <w:right w:val="nil"/>
          <w:insideH w:val="nil"/>
          <w:insideV w:val="nil"/>
        </w:tcBorders>
        <w:shd w:val="clear" w:color="auto" w:fill="003767"/>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band1Horz">
      <w:tblPr/>
      <w:tcPr>
        <w:shd w:val="clear" w:color="auto" w:fill="F1F1F1"/>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88774B"/>
    <w:rPr>
      <w:color w:val="605E5C"/>
      <w:shd w:val="clear" w:color="auto" w:fill="E1DFDD"/>
    </w:rPr>
  </w:style>
  <w:style w:type="paragraph" w:styleId="NoSpacing">
    <w:name w:val="No Spacing"/>
    <w:uiPriority w:val="1"/>
    <w:qFormat/>
    <w:rsid w:val="0088774B"/>
    <w:pPr>
      <w:spacing w:after="0" w:line="240" w:lineRule="auto"/>
    </w:pPr>
    <w:rPr>
      <w:rFonts w:ascii="Arial" w:hAnsi="Arial"/>
    </w:rPr>
  </w:style>
  <w:style w:type="character" w:styleId="FollowedHyperlink">
    <w:name w:val="FollowedHyperlink"/>
    <w:basedOn w:val="DefaultParagraphFont"/>
    <w:uiPriority w:val="99"/>
    <w:semiHidden/>
    <w:unhideWhenUsed/>
    <w:rsid w:val="00AB6F30"/>
    <w:rPr>
      <w:color w:val="954F72" w:themeColor="followedHyperlink"/>
      <w:u w:val="single"/>
    </w:rPr>
  </w:style>
  <w:style w:type="paragraph" w:styleId="BodyText">
    <w:name w:val="Body Text"/>
    <w:basedOn w:val="Normal"/>
    <w:link w:val="BodyTextChar"/>
    <w:uiPriority w:val="1"/>
    <w:qFormat/>
    <w:rsid w:val="0089791D"/>
    <w:pPr>
      <w:widowControl w:val="0"/>
      <w:autoSpaceDE w:val="0"/>
      <w:autoSpaceDN w:val="0"/>
      <w:spacing w:after="0" w:line="240" w:lineRule="auto"/>
    </w:pPr>
    <w:rPr>
      <w:rFonts w:eastAsia="Arial" w:cs="Arial"/>
      <w:lang w:val="en-US"/>
    </w:rPr>
  </w:style>
  <w:style w:type="character" w:customStyle="1" w:styleId="BodyTextChar">
    <w:name w:val="Body Text Char"/>
    <w:basedOn w:val="DefaultParagraphFont"/>
    <w:link w:val="BodyText"/>
    <w:uiPriority w:val="1"/>
    <w:rsid w:val="0089791D"/>
    <w:rPr>
      <w:rFonts w:ascii="Arial" w:eastAsia="Arial" w:hAnsi="Arial" w:cs="Arial"/>
      <w:lang w:val="en-US"/>
    </w:rPr>
  </w:style>
  <w:style w:type="character" w:customStyle="1" w:styleId="fontstyle01">
    <w:name w:val="fontstyle01"/>
    <w:basedOn w:val="DefaultParagraphFont"/>
    <w:rsid w:val="0089791D"/>
    <w:rPr>
      <w:rFonts w:ascii="HelveticaNeueLTPro-Bd" w:hAnsi="HelveticaNeueLTPro-Bd" w:hint="default"/>
      <w:b/>
      <w:bCs/>
      <w:i w:val="0"/>
      <w:iCs w:val="0"/>
      <w:color w:val="003768"/>
      <w:sz w:val="24"/>
      <w:szCs w:val="24"/>
    </w:rPr>
  </w:style>
  <w:style w:type="character" w:styleId="CommentReference">
    <w:name w:val="annotation reference"/>
    <w:basedOn w:val="DefaultParagraphFont"/>
    <w:uiPriority w:val="99"/>
    <w:semiHidden/>
    <w:unhideWhenUsed/>
    <w:rsid w:val="001F79F6"/>
    <w:rPr>
      <w:sz w:val="16"/>
      <w:szCs w:val="16"/>
    </w:rPr>
  </w:style>
  <w:style w:type="paragraph" w:styleId="CommentText">
    <w:name w:val="annotation text"/>
    <w:basedOn w:val="Normal"/>
    <w:link w:val="CommentTextChar"/>
    <w:uiPriority w:val="99"/>
    <w:semiHidden/>
    <w:unhideWhenUsed/>
    <w:rsid w:val="001F79F6"/>
    <w:pPr>
      <w:spacing w:line="240" w:lineRule="auto"/>
    </w:pPr>
    <w:rPr>
      <w:sz w:val="20"/>
      <w:szCs w:val="20"/>
    </w:rPr>
  </w:style>
  <w:style w:type="character" w:customStyle="1" w:styleId="CommentTextChar">
    <w:name w:val="Comment Text Char"/>
    <w:basedOn w:val="DefaultParagraphFont"/>
    <w:link w:val="CommentText"/>
    <w:uiPriority w:val="99"/>
    <w:semiHidden/>
    <w:rsid w:val="001F79F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F79F6"/>
    <w:rPr>
      <w:b/>
      <w:bCs/>
    </w:rPr>
  </w:style>
  <w:style w:type="character" w:customStyle="1" w:styleId="CommentSubjectChar">
    <w:name w:val="Comment Subject Char"/>
    <w:basedOn w:val="CommentTextChar"/>
    <w:link w:val="CommentSubject"/>
    <w:uiPriority w:val="99"/>
    <w:semiHidden/>
    <w:rsid w:val="001F79F6"/>
    <w:rPr>
      <w:rFonts w:ascii="Arial" w:hAnsi="Arial"/>
      <w:b/>
      <w:bCs/>
      <w:sz w:val="20"/>
      <w:szCs w:val="20"/>
    </w:rPr>
  </w:style>
  <w:style w:type="paragraph" w:styleId="Revision">
    <w:name w:val="Revision"/>
    <w:hidden/>
    <w:uiPriority w:val="99"/>
    <w:semiHidden/>
    <w:rsid w:val="001F79F6"/>
    <w:pPr>
      <w:spacing w:after="0" w:line="240" w:lineRule="auto"/>
    </w:pPr>
    <w:rPr>
      <w:rFonts w:ascii="Arial" w:hAnsi="Arial"/>
    </w:rPr>
  </w:style>
  <w:style w:type="character" w:customStyle="1" w:styleId="fontstyle21">
    <w:name w:val="fontstyle21"/>
    <w:basedOn w:val="DefaultParagraphFont"/>
    <w:rsid w:val="00381303"/>
    <w:rPr>
      <w:rFonts w:ascii="HelveticaNeueLTPro-Lt" w:hAnsi="HelveticaNeueLTPro-Lt" w:hint="default"/>
      <w:b w:val="0"/>
      <w:bCs w:val="0"/>
      <w:i w:val="0"/>
      <w:iCs w:val="0"/>
      <w:color w:val="242021"/>
      <w:sz w:val="20"/>
      <w:szCs w:val="20"/>
    </w:rPr>
  </w:style>
  <w:style w:type="character" w:customStyle="1" w:styleId="fontstyle31">
    <w:name w:val="fontstyle31"/>
    <w:basedOn w:val="DefaultParagraphFont"/>
    <w:rsid w:val="00381303"/>
    <w:rPr>
      <w:rFonts w:ascii="HelveticaNeueLTCom-LtIt" w:hAnsi="HelveticaNeueLTCom-LtIt" w:hint="default"/>
      <w:b w:val="0"/>
      <w:bCs w:val="0"/>
      <w:i/>
      <w:iCs/>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346907">
      <w:bodyDiv w:val="1"/>
      <w:marLeft w:val="0"/>
      <w:marRight w:val="0"/>
      <w:marTop w:val="0"/>
      <w:marBottom w:val="0"/>
      <w:divBdr>
        <w:top w:val="none" w:sz="0" w:space="0" w:color="auto"/>
        <w:left w:val="none" w:sz="0" w:space="0" w:color="auto"/>
        <w:bottom w:val="none" w:sz="0" w:space="0" w:color="auto"/>
        <w:right w:val="none" w:sz="0" w:space="0" w:color="auto"/>
      </w:divBdr>
    </w:div>
    <w:div w:id="742147586">
      <w:bodyDiv w:val="1"/>
      <w:marLeft w:val="0"/>
      <w:marRight w:val="0"/>
      <w:marTop w:val="0"/>
      <w:marBottom w:val="0"/>
      <w:divBdr>
        <w:top w:val="none" w:sz="0" w:space="0" w:color="auto"/>
        <w:left w:val="none" w:sz="0" w:space="0" w:color="auto"/>
        <w:bottom w:val="none" w:sz="0" w:space="0" w:color="auto"/>
        <w:right w:val="none" w:sz="0" w:space="0" w:color="auto"/>
      </w:divBdr>
    </w:div>
    <w:div w:id="144365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about:blan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5C642E15A27346A9A5AF46ADDBF263" ma:contentTypeVersion="0" ma:contentTypeDescription="Create a new document." ma:contentTypeScope="" ma:versionID="8f422f54406ab619cb64a7b8393404d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F5F9BF-6536-4F01-B954-D8398F157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C6C95FA-5788-413B-940A-7BB4001DB1D2}">
  <ds:schemaRefs>
    <ds:schemaRef ds:uri="http://schemas.microsoft.com/sharepoint/v3/contenttype/forms"/>
  </ds:schemaRefs>
</ds:datastoreItem>
</file>

<file path=customXml/itemProps3.xml><?xml version="1.0" encoding="utf-8"?>
<ds:datastoreItem xmlns:ds="http://schemas.openxmlformats.org/officeDocument/2006/customXml" ds:itemID="{F9EE740D-8C45-4145-BA30-37A462EC0AB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Procedure Template 31052017.dotx</Template>
  <TotalTime>2609</TotalTime>
  <Pages>20</Pages>
  <Words>5903</Words>
  <Characters>33649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Smith</dc:creator>
  <cp:keywords/>
  <dc:description/>
  <cp:lastModifiedBy>Claire Schiller</cp:lastModifiedBy>
  <cp:revision>7</cp:revision>
  <cp:lastPrinted>2017-03-11T06:49:00Z</cp:lastPrinted>
  <dcterms:created xsi:type="dcterms:W3CDTF">2022-06-22T06:28:00Z</dcterms:created>
  <dcterms:modified xsi:type="dcterms:W3CDTF">2022-07-25T05:23:00Z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0x010100D15C642E15A27346A9A5AF46ADDBF263</vt:lpwstr>
  </property>
  <property fmtid="{D5CDD505-2E9C-101B-9397-08002B2CF9AE}" pid="3" name="SynergySoftUID">
    <vt:lpwstr>K68413580</vt:lpwstr>
  </property>
</Properties>
</file>